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D8" w:rsidRDefault="00DC5E91" w:rsidP="00DC5E91">
      <w:pPr>
        <w:rPr>
          <w:b/>
        </w:rPr>
      </w:pPr>
      <w:r w:rsidRPr="00DC5E91">
        <w:rPr>
          <w:b/>
          <w:noProof/>
        </w:rPr>
        <w:drawing>
          <wp:inline distT="0" distB="0" distL="0" distR="0">
            <wp:extent cx="1228725" cy="485775"/>
            <wp:effectExtent l="19050" t="0" r="9525" b="0"/>
            <wp:docPr id="21" name="Obrázok 1" descr="SCB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CB_(payoff)"/>
                    <pic:cNvPicPr>
                      <a:picLocks noChangeAspect="1" noChangeArrowheads="1"/>
                    </pic:cNvPicPr>
                  </pic:nvPicPr>
                  <pic:blipFill>
                    <a:blip r:embed="rId8" cstate="print"/>
                    <a:srcRect/>
                    <a:stretch>
                      <a:fillRect/>
                    </a:stretch>
                  </pic:blipFill>
                  <pic:spPr bwMode="auto">
                    <a:xfrm>
                      <a:off x="0" y="0"/>
                      <a:ext cx="1228725" cy="485775"/>
                    </a:xfrm>
                    <a:prstGeom prst="rect">
                      <a:avLst/>
                    </a:prstGeom>
                    <a:noFill/>
                    <a:ln w="9525">
                      <a:noFill/>
                      <a:miter lim="800000"/>
                      <a:headEnd/>
                      <a:tailEnd/>
                    </a:ln>
                  </pic:spPr>
                </pic:pic>
              </a:graphicData>
            </a:graphic>
          </wp:inline>
        </w:drawing>
      </w:r>
    </w:p>
    <w:p w:rsidR="00DC5E91" w:rsidRDefault="00DC5E91" w:rsidP="00DC5E91">
      <w:pPr>
        <w:rPr>
          <w:b/>
        </w:rPr>
      </w:pPr>
    </w:p>
    <w:p w:rsidR="00DC5E91" w:rsidRPr="00DC5E91" w:rsidRDefault="00DC5E91" w:rsidP="00DC5E91">
      <w:pPr>
        <w:ind w:left="6372" w:firstLine="708"/>
        <w:rPr>
          <w:b/>
          <w:color w:val="808080" w:themeColor="background1" w:themeShade="80"/>
          <w:sz w:val="26"/>
          <w:szCs w:val="26"/>
        </w:rPr>
      </w:pPr>
      <w:r w:rsidRPr="00DC5E91">
        <w:rPr>
          <w:b/>
          <w:color w:val="808080" w:themeColor="background1" w:themeShade="80"/>
          <w:sz w:val="26"/>
          <w:szCs w:val="26"/>
        </w:rPr>
        <w:t>Tlačová správa</w:t>
      </w:r>
    </w:p>
    <w:p w:rsidR="001907D8" w:rsidRDefault="001907D8" w:rsidP="001907D8">
      <w:pPr>
        <w:jc w:val="center"/>
        <w:rPr>
          <w:b/>
        </w:rPr>
      </w:pPr>
    </w:p>
    <w:p w:rsidR="0051768B" w:rsidRDefault="0051768B" w:rsidP="003410E1">
      <w:pPr>
        <w:spacing w:line="288" w:lineRule="auto"/>
        <w:jc w:val="both"/>
        <w:rPr>
          <w:rFonts w:ascii="Arial" w:hAnsi="Arial" w:cs="Arial"/>
          <w:b/>
          <w:sz w:val="22"/>
          <w:szCs w:val="22"/>
        </w:rPr>
      </w:pPr>
    </w:p>
    <w:p w:rsidR="001D65C0" w:rsidRDefault="001D65C0" w:rsidP="003410E1">
      <w:pPr>
        <w:spacing w:line="288" w:lineRule="auto"/>
        <w:jc w:val="both"/>
        <w:rPr>
          <w:rFonts w:ascii="Arial" w:hAnsi="Arial" w:cs="Arial"/>
          <w:b/>
          <w:sz w:val="22"/>
          <w:szCs w:val="22"/>
        </w:rPr>
      </w:pPr>
    </w:p>
    <w:p w:rsidR="009D00E3" w:rsidRPr="009D00E3" w:rsidRDefault="009D00E3" w:rsidP="009D00E3">
      <w:pPr>
        <w:jc w:val="center"/>
        <w:rPr>
          <w:b/>
          <w:sz w:val="28"/>
          <w:szCs w:val="28"/>
        </w:rPr>
      </w:pPr>
      <w:proofErr w:type="spellStart"/>
      <w:r w:rsidRPr="009D00E3">
        <w:rPr>
          <w:b/>
          <w:sz w:val="28"/>
          <w:szCs w:val="28"/>
        </w:rPr>
        <w:t>Municipality</w:t>
      </w:r>
      <w:proofErr w:type="spellEnd"/>
      <w:r w:rsidRPr="009D00E3">
        <w:rPr>
          <w:b/>
          <w:sz w:val="28"/>
          <w:szCs w:val="28"/>
        </w:rPr>
        <w:t xml:space="preserve"> neprestávajú šetriť a prispôsobujú objem výdavkov svojim príjmom</w:t>
      </w:r>
    </w:p>
    <w:p w:rsidR="009D00E3" w:rsidRPr="009D00E3" w:rsidRDefault="009D00E3" w:rsidP="009D00E3">
      <w:pPr>
        <w:jc w:val="center"/>
        <w:rPr>
          <w:b/>
        </w:rPr>
      </w:pPr>
    </w:p>
    <w:p w:rsidR="009D00E3" w:rsidRPr="009D00E3" w:rsidRDefault="009D00E3" w:rsidP="009D00E3">
      <w:pPr>
        <w:rPr>
          <w:b/>
        </w:rPr>
      </w:pPr>
    </w:p>
    <w:p w:rsidR="009D00E3" w:rsidRPr="009D00E3" w:rsidRDefault="009D00E3" w:rsidP="009D00E3">
      <w:pPr>
        <w:spacing w:line="360" w:lineRule="auto"/>
        <w:jc w:val="both"/>
        <w:rPr>
          <w:b/>
        </w:rPr>
      </w:pPr>
      <w:r w:rsidRPr="009D00E3">
        <w:rPr>
          <w:b/>
        </w:rPr>
        <w:t xml:space="preserve">Bratislava, dňa 9. februára 2012 - S cieľom zistiť, či </w:t>
      </w:r>
      <w:proofErr w:type="spellStart"/>
      <w:r w:rsidRPr="009D00E3">
        <w:rPr>
          <w:b/>
        </w:rPr>
        <w:t>municipality</w:t>
      </w:r>
      <w:proofErr w:type="spellEnd"/>
      <w:r w:rsidRPr="009D00E3">
        <w:rPr>
          <w:b/>
        </w:rPr>
        <w:t xml:space="preserve"> aj v období nasledujúcom po prvom polroku 2011 opätovne zápasili s nedostatkom finančných zdrojov a či objem celkových výdavkov prispôsobili ich príjmom, uskutočnila spoločnosť SCB – Slovak </w:t>
      </w:r>
      <w:proofErr w:type="spellStart"/>
      <w:r w:rsidRPr="009D00E3">
        <w:rPr>
          <w:b/>
        </w:rPr>
        <w:t>Credit</w:t>
      </w:r>
      <w:proofErr w:type="spellEnd"/>
      <w:r w:rsidRPr="009D00E3">
        <w:rPr>
          <w:b/>
        </w:rPr>
        <w:t xml:space="preserve"> </w:t>
      </w:r>
      <w:proofErr w:type="spellStart"/>
      <w:r w:rsidRPr="009D00E3">
        <w:rPr>
          <w:b/>
        </w:rPr>
        <w:t>Bureau</w:t>
      </w:r>
      <w:proofErr w:type="spellEnd"/>
      <w:r w:rsidRPr="009D00E3">
        <w:rPr>
          <w:b/>
        </w:rPr>
        <w:t xml:space="preserve">, s.r.o. analýzu vývoja objemu a štruktúry celkových príjmov, celkových výdavkov a salda rozpočtu </w:t>
      </w:r>
      <w:proofErr w:type="spellStart"/>
      <w:r w:rsidRPr="009D00E3">
        <w:rPr>
          <w:b/>
        </w:rPr>
        <w:t>municipalít</w:t>
      </w:r>
      <w:proofErr w:type="spellEnd"/>
      <w:r w:rsidRPr="009D00E3">
        <w:rPr>
          <w:b/>
        </w:rPr>
        <w:t xml:space="preserve"> </w:t>
      </w:r>
      <w:r w:rsidRPr="009D00E3">
        <w:t>(vrátane ich rozpočtových organizácií)</w:t>
      </w:r>
      <w:r w:rsidRPr="009D00E3">
        <w:rPr>
          <w:b/>
        </w:rPr>
        <w:t xml:space="preserve"> za trištvrte rok 2011 a údaje porovnala s rovnakým obdobím roku 2010 </w:t>
      </w:r>
      <w:r w:rsidRPr="009D00E3">
        <w:t>(v niektorých prípadoch aj s ďalšími obdobiami)</w:t>
      </w:r>
      <w:r w:rsidRPr="009D00E3">
        <w:rPr>
          <w:b/>
        </w:rPr>
        <w:t xml:space="preserve">. Osobitná pozornosť bola venovaná vývoju a štruktúre daňových príjmov a v rámci nich objemu výnosu dane z príjmov </w:t>
      </w:r>
      <w:r w:rsidRPr="009D00E3">
        <w:t xml:space="preserve">(tzv. podielových daní z príjmov fyzických osôb) </w:t>
      </w:r>
      <w:r w:rsidRPr="009D00E3">
        <w:rPr>
          <w:b/>
        </w:rPr>
        <w:t>poukázaného územnej samospráve</w:t>
      </w:r>
      <w:r w:rsidRPr="009D00E3">
        <w:t>.</w:t>
      </w:r>
    </w:p>
    <w:p w:rsidR="009D00E3" w:rsidRPr="009D00E3" w:rsidRDefault="009D00E3" w:rsidP="009D00E3">
      <w:pPr>
        <w:spacing w:line="360" w:lineRule="auto"/>
        <w:ind w:firstLine="708"/>
        <w:jc w:val="both"/>
      </w:pPr>
      <w:r w:rsidRPr="009D00E3">
        <w:t xml:space="preserve">Do zdrojov analýzy vstupovali finančné výkazy o plnení rozpočtu subjektu verejnej správy za 2 922 </w:t>
      </w:r>
      <w:proofErr w:type="spellStart"/>
      <w:r w:rsidRPr="009D00E3">
        <w:t>municipalít</w:t>
      </w:r>
      <w:proofErr w:type="spellEnd"/>
      <w:r w:rsidRPr="009D00E3">
        <w:t xml:space="preserve"> (a 2 067 nimi zriadených rozpočtových organizácií) za trištvrte rok 2011 a za 2 920 </w:t>
      </w:r>
      <w:proofErr w:type="spellStart"/>
      <w:r w:rsidRPr="009D00E3">
        <w:t>municipalít</w:t>
      </w:r>
      <w:proofErr w:type="spellEnd"/>
      <w:r w:rsidRPr="009D00E3">
        <w:t xml:space="preserve"> (a 2 030 nimi zriadených rozpočtových organizácií) za trištvrte rok 2010. Výsledkom analýzy sú súhrnné údaje za </w:t>
      </w:r>
      <w:proofErr w:type="spellStart"/>
      <w:r w:rsidRPr="009D00E3">
        <w:t>municipality</w:t>
      </w:r>
      <w:proofErr w:type="spellEnd"/>
      <w:r w:rsidRPr="009D00E3">
        <w:t xml:space="preserve"> v SR celkom, resp. za </w:t>
      </w:r>
      <w:proofErr w:type="spellStart"/>
      <w:r w:rsidRPr="009D00E3">
        <w:t>municipality</w:t>
      </w:r>
      <w:proofErr w:type="spellEnd"/>
      <w:r w:rsidRPr="009D00E3">
        <w:t xml:space="preserve"> podľa krajov a osobitne za Bratislavu hlavné mesto a Mesto Košice, ktoré majú štatút kraja.</w:t>
      </w: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r w:rsidRPr="009D00E3">
        <w:rPr>
          <w:b/>
          <w:i/>
          <w:u w:val="single"/>
        </w:rPr>
        <w:t xml:space="preserve">Údaje za </w:t>
      </w:r>
      <w:proofErr w:type="spellStart"/>
      <w:r w:rsidRPr="009D00E3">
        <w:rPr>
          <w:b/>
          <w:i/>
          <w:u w:val="single"/>
        </w:rPr>
        <w:t>municipality</w:t>
      </w:r>
      <w:proofErr w:type="spellEnd"/>
      <w:r w:rsidRPr="009D00E3">
        <w:rPr>
          <w:b/>
          <w:i/>
          <w:u w:val="single"/>
        </w:rPr>
        <w:t xml:space="preserve"> v SR celkom – príjmy</w:t>
      </w:r>
    </w:p>
    <w:p w:rsidR="009D00E3" w:rsidRPr="009D00E3" w:rsidRDefault="009D00E3" w:rsidP="009D00E3">
      <w:pPr>
        <w:spacing w:line="360" w:lineRule="auto"/>
        <w:ind w:firstLine="708"/>
        <w:jc w:val="both"/>
      </w:pPr>
      <w:r w:rsidRPr="009D00E3">
        <w:rPr>
          <w:b/>
        </w:rPr>
        <w:t xml:space="preserve">Celkové príjmy </w:t>
      </w:r>
      <w:proofErr w:type="spellStart"/>
      <w:r w:rsidRPr="009D00E3">
        <w:rPr>
          <w:b/>
        </w:rPr>
        <w:t>municipalít</w:t>
      </w:r>
      <w:proofErr w:type="spellEnd"/>
      <w:r w:rsidRPr="009D00E3">
        <w:t xml:space="preserve"> (vrátane ich rozpočtových organizácií) </w:t>
      </w:r>
      <w:r w:rsidRPr="009D00E3">
        <w:rPr>
          <w:b/>
        </w:rPr>
        <w:t>za trištvrte rok 2011 oproti rovnakému obdobiu predchádzajúceho roka vzrástli iba mierne, o 2,71 %</w:t>
      </w:r>
      <w:r w:rsidRPr="009D00E3">
        <w:t xml:space="preserve">. V porovnaní s prvým štvrťrokom 2011, kedy bol objem celkových príjmov </w:t>
      </w:r>
      <w:proofErr w:type="spellStart"/>
      <w:r w:rsidRPr="009D00E3">
        <w:t>municipalít</w:t>
      </w:r>
      <w:proofErr w:type="spellEnd"/>
      <w:r w:rsidRPr="009D00E3">
        <w:t xml:space="preserve">  </w:t>
      </w:r>
      <w:r w:rsidRPr="009D00E3">
        <w:br/>
        <w:t>927 575 549 € a s druhým štvrťrokom 2011, kedy dosiahol 915 913 930 €, bol ich objem v treťom štvrťroku najvyšší -  970 153 818 € (celkové príjmy za trištvrte rok 2011 boli vo výške 2 813 643 297 €).</w:t>
      </w:r>
    </w:p>
    <w:p w:rsidR="009D00E3" w:rsidRPr="009D00E3" w:rsidRDefault="009D00E3" w:rsidP="009D00E3">
      <w:pPr>
        <w:spacing w:line="360" w:lineRule="auto"/>
        <w:ind w:firstLine="708"/>
        <w:jc w:val="both"/>
      </w:pPr>
      <w:r w:rsidRPr="009D00E3">
        <w:lastRenderedPageBreak/>
        <w:t xml:space="preserve">Vývoj celkových príjmov </w:t>
      </w:r>
      <w:proofErr w:type="spellStart"/>
      <w:r w:rsidRPr="009D00E3">
        <w:t>municipalít</w:t>
      </w:r>
      <w:proofErr w:type="spellEnd"/>
      <w:r w:rsidRPr="009D00E3">
        <w:t xml:space="preserve"> (vrátane ich rozpočtových organizácií)  a jednotlivých druhov príjmov (daňové príjmy a v rámci nich podielové dane z príjmov fyzických osôb, nedaňové príjmy, granty a transfery, finančné príjmy) obsahuje tabuľka č. 1. </w:t>
      </w:r>
    </w:p>
    <w:p w:rsidR="009D00E3" w:rsidRPr="009D00E3" w:rsidRDefault="009D00E3" w:rsidP="009D00E3">
      <w:pPr>
        <w:ind w:left="1701" w:hanging="1701"/>
        <w:jc w:val="both"/>
      </w:pPr>
      <w:r w:rsidRPr="009D00E3">
        <w:t xml:space="preserve">Tabuľka č. 1: Vývoj výšky a štruktúry celkových príjmov </w:t>
      </w:r>
      <w:proofErr w:type="spellStart"/>
      <w:r w:rsidRPr="009D00E3">
        <w:t>municipalít</w:t>
      </w:r>
      <w:proofErr w:type="spellEnd"/>
      <w:r w:rsidRPr="009D00E3">
        <w:t xml:space="preserve"> (vrátane ich rozpočtových organizácií) </w:t>
      </w:r>
    </w:p>
    <w:tbl>
      <w:tblPr>
        <w:tblW w:w="9082" w:type="dxa"/>
        <w:tblInd w:w="60" w:type="dxa"/>
        <w:tblCellMar>
          <w:left w:w="70" w:type="dxa"/>
          <w:right w:w="70" w:type="dxa"/>
        </w:tblCellMar>
        <w:tblLook w:val="04A0"/>
      </w:tblPr>
      <w:tblGrid>
        <w:gridCol w:w="2845"/>
        <w:gridCol w:w="1460"/>
        <w:gridCol w:w="840"/>
        <w:gridCol w:w="1386"/>
        <w:gridCol w:w="850"/>
        <w:gridCol w:w="1701"/>
      </w:tblGrid>
      <w:tr w:rsidR="009D00E3" w:rsidRPr="009D00E3" w:rsidTr="00B521E1">
        <w:trPr>
          <w:trHeight w:val="426"/>
        </w:trPr>
        <w:tc>
          <w:tcPr>
            <w:tcW w:w="2845" w:type="dxa"/>
            <w:vMerge w:val="restart"/>
            <w:tcBorders>
              <w:top w:val="single" w:sz="8" w:space="0" w:color="auto"/>
              <w:left w:val="single" w:sz="8" w:space="0" w:color="auto"/>
              <w:bottom w:val="single" w:sz="8" w:space="0" w:color="000000"/>
              <w:right w:val="nil"/>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 xml:space="preserve">Objem a štruktúra celkových príjmov </w:t>
            </w:r>
            <w:proofErr w:type="spellStart"/>
            <w:r w:rsidRPr="009D00E3">
              <w:rPr>
                <w:b/>
                <w:bCs/>
                <w:color w:val="000000"/>
                <w:sz w:val="20"/>
                <w:szCs w:val="20"/>
              </w:rPr>
              <w:t>municipalít</w:t>
            </w:r>
            <w:proofErr w:type="spellEnd"/>
            <w:r w:rsidRPr="009D00E3">
              <w:rPr>
                <w:b/>
                <w:bCs/>
                <w:color w:val="000000"/>
                <w:sz w:val="20"/>
                <w:szCs w:val="20"/>
              </w:rPr>
              <w:t xml:space="preserve"> v SR </w:t>
            </w:r>
          </w:p>
        </w:tc>
        <w:tc>
          <w:tcPr>
            <w:tcW w:w="2300" w:type="dxa"/>
            <w:gridSpan w:val="2"/>
            <w:tcBorders>
              <w:top w:val="single" w:sz="8" w:space="0" w:color="auto"/>
              <w:left w:val="single" w:sz="8" w:space="0" w:color="auto"/>
              <w:bottom w:val="single" w:sz="8" w:space="0" w:color="auto"/>
              <w:right w:val="single" w:sz="8" w:space="0" w:color="000000"/>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2010</w:t>
            </w:r>
          </w:p>
        </w:tc>
        <w:tc>
          <w:tcPr>
            <w:tcW w:w="2236" w:type="dxa"/>
            <w:gridSpan w:val="2"/>
            <w:tcBorders>
              <w:top w:val="single" w:sz="8" w:space="0" w:color="auto"/>
              <w:left w:val="nil"/>
              <w:bottom w:val="single" w:sz="8" w:space="0" w:color="auto"/>
              <w:right w:val="single" w:sz="8" w:space="0" w:color="000000"/>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w:t>
            </w:r>
          </w:p>
        </w:tc>
        <w:tc>
          <w:tcPr>
            <w:tcW w:w="1701" w:type="dxa"/>
            <w:vMerge w:val="restart"/>
            <w:tcBorders>
              <w:top w:val="single" w:sz="8" w:space="0" w:color="auto"/>
              <w:left w:val="nil"/>
              <w:bottom w:val="nil"/>
              <w:right w:val="single" w:sz="8" w:space="0" w:color="auto"/>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 trištvrte rok 2010 v %</w:t>
            </w:r>
          </w:p>
        </w:tc>
      </w:tr>
      <w:tr w:rsidR="009D00E3" w:rsidRPr="009D00E3" w:rsidTr="00B521E1">
        <w:trPr>
          <w:trHeight w:val="263"/>
        </w:trPr>
        <w:tc>
          <w:tcPr>
            <w:tcW w:w="2845" w:type="dxa"/>
            <w:vMerge/>
            <w:tcBorders>
              <w:top w:val="single" w:sz="8" w:space="0" w:color="auto"/>
              <w:left w:val="single" w:sz="8" w:space="0" w:color="auto"/>
              <w:bottom w:val="single" w:sz="8" w:space="0" w:color="000000"/>
              <w:right w:val="nil"/>
            </w:tcBorders>
            <w:vAlign w:val="center"/>
            <w:hideMark/>
          </w:tcPr>
          <w:p w:rsidR="009D00E3" w:rsidRPr="009D00E3" w:rsidRDefault="009D00E3" w:rsidP="00B521E1">
            <w:pPr>
              <w:rPr>
                <w:b/>
                <w:bCs/>
                <w:color w:val="000000"/>
                <w:sz w:val="20"/>
                <w:szCs w:val="20"/>
              </w:rPr>
            </w:pPr>
          </w:p>
        </w:tc>
        <w:tc>
          <w:tcPr>
            <w:tcW w:w="1460" w:type="dxa"/>
            <w:tcBorders>
              <w:top w:val="nil"/>
              <w:left w:val="single" w:sz="8" w:space="0" w:color="auto"/>
              <w:bottom w:val="nil"/>
              <w:right w:val="single" w:sz="8" w:space="0" w:color="auto"/>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840" w:type="dxa"/>
            <w:tcBorders>
              <w:top w:val="nil"/>
              <w:left w:val="nil"/>
              <w:bottom w:val="nil"/>
              <w:right w:val="single" w:sz="8" w:space="0" w:color="auto"/>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386" w:type="dxa"/>
            <w:tcBorders>
              <w:top w:val="single" w:sz="4" w:space="0" w:color="auto"/>
              <w:left w:val="nil"/>
              <w:bottom w:val="nil"/>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850" w:type="dxa"/>
            <w:tcBorders>
              <w:top w:val="single" w:sz="4" w:space="0" w:color="auto"/>
              <w:left w:val="nil"/>
              <w:bottom w:val="nil"/>
              <w:right w:val="single" w:sz="8"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701" w:type="dxa"/>
            <w:vMerge/>
            <w:tcBorders>
              <w:top w:val="single" w:sz="8" w:space="0" w:color="auto"/>
              <w:left w:val="nil"/>
              <w:bottom w:val="nil"/>
              <w:right w:val="single" w:sz="8" w:space="0" w:color="auto"/>
            </w:tcBorders>
            <w:vAlign w:val="center"/>
            <w:hideMark/>
          </w:tcPr>
          <w:p w:rsidR="009D00E3" w:rsidRPr="009D00E3" w:rsidRDefault="009D00E3" w:rsidP="00B521E1">
            <w:pPr>
              <w:rPr>
                <w:b/>
                <w:bCs/>
                <w:color w:val="000000"/>
                <w:sz w:val="20"/>
                <w:szCs w:val="20"/>
              </w:rPr>
            </w:pPr>
          </w:p>
        </w:tc>
      </w:tr>
      <w:tr w:rsidR="009D00E3" w:rsidRPr="009D00E3" w:rsidTr="00B521E1">
        <w:trPr>
          <w:trHeight w:val="315"/>
        </w:trPr>
        <w:tc>
          <w:tcPr>
            <w:tcW w:w="2845" w:type="dxa"/>
            <w:tcBorders>
              <w:top w:val="nil"/>
              <w:left w:val="single" w:sz="8" w:space="0" w:color="auto"/>
              <w:bottom w:val="single" w:sz="8"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 xml:space="preserve">Daňové </w:t>
            </w:r>
          </w:p>
        </w:tc>
        <w:tc>
          <w:tcPr>
            <w:tcW w:w="14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1 060 490 554</w:t>
            </w:r>
          </w:p>
        </w:tc>
        <w:tc>
          <w:tcPr>
            <w:tcW w:w="840" w:type="dxa"/>
            <w:tcBorders>
              <w:top w:val="single" w:sz="4" w:space="0" w:color="auto"/>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38,71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1 216 937 415</w:t>
            </w:r>
          </w:p>
        </w:tc>
        <w:tc>
          <w:tcPr>
            <w:tcW w:w="850" w:type="dxa"/>
            <w:tcBorders>
              <w:top w:val="single" w:sz="4" w:space="0" w:color="auto"/>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43,25</w:t>
            </w:r>
          </w:p>
        </w:tc>
        <w:tc>
          <w:tcPr>
            <w:tcW w:w="1701"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14,75</w:t>
            </w:r>
          </w:p>
        </w:tc>
      </w:tr>
      <w:tr w:rsidR="009D00E3" w:rsidRPr="009D00E3" w:rsidTr="00B521E1">
        <w:trPr>
          <w:trHeight w:val="555"/>
        </w:trPr>
        <w:tc>
          <w:tcPr>
            <w:tcW w:w="2845" w:type="dxa"/>
            <w:tcBorders>
              <w:top w:val="nil"/>
              <w:left w:val="single" w:sz="8" w:space="0" w:color="auto"/>
              <w:bottom w:val="single" w:sz="8" w:space="0" w:color="auto"/>
              <w:right w:val="nil"/>
            </w:tcBorders>
            <w:shd w:val="clear" w:color="auto" w:fill="auto"/>
            <w:vAlign w:val="bottom"/>
            <w:hideMark/>
          </w:tcPr>
          <w:p w:rsidR="009D00E3" w:rsidRPr="009D00E3" w:rsidRDefault="009D00E3" w:rsidP="00B521E1">
            <w:pPr>
              <w:rPr>
                <w:b/>
                <w:bCs/>
                <w:i/>
                <w:iCs/>
                <w:color w:val="000000"/>
                <w:sz w:val="20"/>
                <w:szCs w:val="20"/>
              </w:rPr>
            </w:pPr>
            <w:r w:rsidRPr="009D00E3">
              <w:rPr>
                <w:b/>
                <w:bCs/>
                <w:i/>
                <w:iCs/>
                <w:color w:val="000000"/>
                <w:sz w:val="20"/>
                <w:szCs w:val="20"/>
              </w:rPr>
              <w:t xml:space="preserve">- výnos dane z príjmov poukázaný územnej samospráve </w:t>
            </w:r>
          </w:p>
        </w:tc>
        <w:tc>
          <w:tcPr>
            <w:tcW w:w="1460" w:type="dxa"/>
            <w:tcBorders>
              <w:top w:val="nil"/>
              <w:left w:val="single" w:sz="8"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i/>
                <w:iCs/>
                <w:color w:val="000000"/>
                <w:sz w:val="20"/>
                <w:szCs w:val="20"/>
              </w:rPr>
            </w:pPr>
            <w:r w:rsidRPr="009D00E3">
              <w:rPr>
                <w:i/>
                <w:iCs/>
                <w:color w:val="000000"/>
                <w:sz w:val="20"/>
                <w:szCs w:val="20"/>
              </w:rPr>
              <w:t>719 610 215</w:t>
            </w:r>
          </w:p>
        </w:tc>
        <w:tc>
          <w:tcPr>
            <w:tcW w:w="84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26,27</w:t>
            </w:r>
          </w:p>
        </w:tc>
        <w:tc>
          <w:tcPr>
            <w:tcW w:w="1386"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i/>
                <w:iCs/>
                <w:color w:val="000000"/>
                <w:sz w:val="20"/>
                <w:szCs w:val="20"/>
              </w:rPr>
            </w:pPr>
            <w:r w:rsidRPr="009D00E3">
              <w:rPr>
                <w:i/>
                <w:iCs/>
                <w:color w:val="000000"/>
                <w:sz w:val="20"/>
                <w:szCs w:val="20"/>
              </w:rPr>
              <w:t>864 489 907</w:t>
            </w:r>
          </w:p>
        </w:tc>
        <w:tc>
          <w:tcPr>
            <w:tcW w:w="85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30,72</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20,13</w:t>
            </w:r>
          </w:p>
        </w:tc>
      </w:tr>
      <w:tr w:rsidR="009D00E3" w:rsidRPr="009D00E3" w:rsidTr="00B521E1">
        <w:trPr>
          <w:trHeight w:val="315"/>
        </w:trPr>
        <w:tc>
          <w:tcPr>
            <w:tcW w:w="2845" w:type="dxa"/>
            <w:tcBorders>
              <w:top w:val="nil"/>
              <w:left w:val="single" w:sz="8" w:space="0" w:color="auto"/>
              <w:bottom w:val="single" w:sz="8"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 xml:space="preserve">Nedaňové </w:t>
            </w:r>
          </w:p>
        </w:tc>
        <w:tc>
          <w:tcPr>
            <w:tcW w:w="1460" w:type="dxa"/>
            <w:tcBorders>
              <w:top w:val="nil"/>
              <w:left w:val="single" w:sz="8"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294 017 199</w:t>
            </w:r>
          </w:p>
        </w:tc>
        <w:tc>
          <w:tcPr>
            <w:tcW w:w="84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10,73</w:t>
            </w:r>
          </w:p>
        </w:tc>
        <w:tc>
          <w:tcPr>
            <w:tcW w:w="1386"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281 971 434</w:t>
            </w:r>
          </w:p>
        </w:tc>
        <w:tc>
          <w:tcPr>
            <w:tcW w:w="85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10,02</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-4,10</w:t>
            </w:r>
          </w:p>
        </w:tc>
      </w:tr>
      <w:tr w:rsidR="009D00E3" w:rsidRPr="009D00E3" w:rsidTr="00B521E1">
        <w:trPr>
          <w:trHeight w:val="315"/>
        </w:trPr>
        <w:tc>
          <w:tcPr>
            <w:tcW w:w="2845" w:type="dxa"/>
            <w:tcBorders>
              <w:top w:val="nil"/>
              <w:left w:val="single" w:sz="8" w:space="0" w:color="auto"/>
              <w:bottom w:val="single" w:sz="8"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Granty a transfery</w:t>
            </w:r>
          </w:p>
        </w:tc>
        <w:tc>
          <w:tcPr>
            <w:tcW w:w="1460" w:type="dxa"/>
            <w:tcBorders>
              <w:top w:val="nil"/>
              <w:left w:val="single" w:sz="8"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901 147 794</w:t>
            </w:r>
          </w:p>
        </w:tc>
        <w:tc>
          <w:tcPr>
            <w:tcW w:w="84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32,90</w:t>
            </w:r>
          </w:p>
        </w:tc>
        <w:tc>
          <w:tcPr>
            <w:tcW w:w="1386"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984 832 902</w:t>
            </w:r>
          </w:p>
        </w:tc>
        <w:tc>
          <w:tcPr>
            <w:tcW w:w="85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9,29</w:t>
            </w:r>
          </w:p>
        </w:tc>
      </w:tr>
      <w:tr w:rsidR="009D00E3" w:rsidRPr="009D00E3" w:rsidTr="00B521E1">
        <w:trPr>
          <w:trHeight w:val="315"/>
        </w:trPr>
        <w:tc>
          <w:tcPr>
            <w:tcW w:w="2845" w:type="dxa"/>
            <w:tcBorders>
              <w:top w:val="nil"/>
              <w:left w:val="single" w:sz="8" w:space="0" w:color="auto"/>
              <w:bottom w:val="single" w:sz="8"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 xml:space="preserve">Finančné </w:t>
            </w:r>
          </w:p>
        </w:tc>
        <w:tc>
          <w:tcPr>
            <w:tcW w:w="1460" w:type="dxa"/>
            <w:tcBorders>
              <w:top w:val="nil"/>
              <w:left w:val="single" w:sz="8"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483 744 729</w:t>
            </w:r>
          </w:p>
        </w:tc>
        <w:tc>
          <w:tcPr>
            <w:tcW w:w="84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17,66</w:t>
            </w:r>
          </w:p>
        </w:tc>
        <w:tc>
          <w:tcPr>
            <w:tcW w:w="1386"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329 901 546</w:t>
            </w:r>
          </w:p>
        </w:tc>
        <w:tc>
          <w:tcPr>
            <w:tcW w:w="850" w:type="dxa"/>
            <w:tcBorders>
              <w:top w:val="nil"/>
              <w:left w:val="nil"/>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11,73</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-31,80</w:t>
            </w:r>
          </w:p>
        </w:tc>
      </w:tr>
      <w:tr w:rsidR="009D00E3" w:rsidRPr="009D00E3" w:rsidTr="00B521E1">
        <w:trPr>
          <w:trHeight w:val="315"/>
        </w:trPr>
        <w:tc>
          <w:tcPr>
            <w:tcW w:w="2845" w:type="dxa"/>
            <w:tcBorders>
              <w:top w:val="nil"/>
              <w:left w:val="single" w:sz="8" w:space="0" w:color="auto"/>
              <w:bottom w:val="single" w:sz="8" w:space="0" w:color="auto"/>
              <w:right w:val="nil"/>
            </w:tcBorders>
            <w:shd w:val="clear" w:color="000000" w:fill="B2B2B2"/>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460" w:type="dxa"/>
            <w:tcBorders>
              <w:top w:val="nil"/>
              <w:left w:val="single" w:sz="8" w:space="0" w:color="auto"/>
              <w:bottom w:val="single" w:sz="8" w:space="0" w:color="auto"/>
              <w:right w:val="single" w:sz="4" w:space="0" w:color="auto"/>
            </w:tcBorders>
            <w:shd w:val="clear" w:color="000000" w:fill="B2B2B2"/>
            <w:vAlign w:val="bottom"/>
            <w:hideMark/>
          </w:tcPr>
          <w:p w:rsidR="009D00E3" w:rsidRPr="009D00E3" w:rsidRDefault="009D00E3" w:rsidP="00B521E1">
            <w:pPr>
              <w:jc w:val="right"/>
              <w:rPr>
                <w:b/>
                <w:bCs/>
                <w:color w:val="000000"/>
                <w:sz w:val="20"/>
                <w:szCs w:val="20"/>
              </w:rPr>
            </w:pPr>
            <w:r w:rsidRPr="009D00E3">
              <w:rPr>
                <w:b/>
                <w:bCs/>
                <w:color w:val="000000"/>
                <w:sz w:val="20"/>
                <w:szCs w:val="20"/>
              </w:rPr>
              <w:t>2 739 400 276</w:t>
            </w:r>
          </w:p>
        </w:tc>
        <w:tc>
          <w:tcPr>
            <w:tcW w:w="840" w:type="dxa"/>
            <w:tcBorders>
              <w:top w:val="nil"/>
              <w:left w:val="nil"/>
              <w:bottom w:val="single" w:sz="8" w:space="0" w:color="auto"/>
              <w:right w:val="single" w:sz="8" w:space="0" w:color="auto"/>
            </w:tcBorders>
            <w:shd w:val="clear" w:color="000000" w:fill="B2B2B2"/>
            <w:vAlign w:val="bottom"/>
            <w:hideMark/>
          </w:tcPr>
          <w:p w:rsidR="009D00E3" w:rsidRPr="009D00E3" w:rsidRDefault="009D00E3" w:rsidP="00B521E1">
            <w:pPr>
              <w:jc w:val="right"/>
              <w:rPr>
                <w:b/>
                <w:bCs/>
                <w:color w:val="000000"/>
                <w:sz w:val="20"/>
                <w:szCs w:val="20"/>
              </w:rPr>
            </w:pPr>
            <w:r w:rsidRPr="009D00E3">
              <w:rPr>
                <w:b/>
                <w:bCs/>
                <w:color w:val="000000"/>
                <w:sz w:val="20"/>
                <w:szCs w:val="20"/>
              </w:rPr>
              <w:t>100,00</w:t>
            </w:r>
          </w:p>
        </w:tc>
        <w:tc>
          <w:tcPr>
            <w:tcW w:w="1386" w:type="dxa"/>
            <w:tcBorders>
              <w:top w:val="nil"/>
              <w:left w:val="nil"/>
              <w:bottom w:val="single" w:sz="8" w:space="0" w:color="auto"/>
              <w:right w:val="single" w:sz="4"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2 813 643 297</w:t>
            </w:r>
          </w:p>
        </w:tc>
        <w:tc>
          <w:tcPr>
            <w:tcW w:w="850" w:type="dxa"/>
            <w:tcBorders>
              <w:top w:val="nil"/>
              <w:left w:val="nil"/>
              <w:bottom w:val="single" w:sz="8" w:space="0" w:color="auto"/>
              <w:right w:val="single" w:sz="8"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100,00</w:t>
            </w:r>
          </w:p>
        </w:tc>
        <w:tc>
          <w:tcPr>
            <w:tcW w:w="1701" w:type="dxa"/>
            <w:tcBorders>
              <w:top w:val="nil"/>
              <w:left w:val="single" w:sz="4" w:space="0" w:color="auto"/>
              <w:bottom w:val="single" w:sz="8" w:space="0" w:color="auto"/>
              <w:right w:val="single" w:sz="8"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2,71</w:t>
            </w:r>
          </w:p>
        </w:tc>
      </w:tr>
    </w:tbl>
    <w:p w:rsidR="009D00E3" w:rsidRPr="009D00E3" w:rsidRDefault="009D00E3" w:rsidP="009D00E3">
      <w:pPr>
        <w:spacing w:line="360" w:lineRule="auto"/>
      </w:pPr>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s.r.o.</w:t>
      </w:r>
    </w:p>
    <w:p w:rsidR="009D00E3" w:rsidRPr="009D00E3" w:rsidRDefault="009D00E3" w:rsidP="009D00E3">
      <w:pPr>
        <w:spacing w:line="360" w:lineRule="auto"/>
        <w:ind w:firstLine="708"/>
        <w:jc w:val="both"/>
        <w:rPr>
          <w:b/>
        </w:rPr>
      </w:pPr>
    </w:p>
    <w:p w:rsidR="009D00E3" w:rsidRPr="009D00E3" w:rsidRDefault="009D00E3" w:rsidP="009D00E3">
      <w:pPr>
        <w:spacing w:line="360" w:lineRule="auto"/>
        <w:ind w:firstLine="708"/>
        <w:jc w:val="both"/>
      </w:pPr>
      <w:r w:rsidRPr="009D00E3">
        <w:rPr>
          <w:b/>
        </w:rPr>
        <w:t xml:space="preserve">Poradie jednotlivých druhov príjmov z hľadiska ich podielu na celkových príjmoch sa oproti trištvrte roku 2010 nezmenilo. </w:t>
      </w:r>
      <w:r w:rsidRPr="009D00E3">
        <w:t xml:space="preserve">Aj za trištvrte rok 2011 mali najväčší podiel daňové príjmy, nasledovali granty a transfery, finančné príjmy a najmenší podiel mali nedaňové príjmy. </w:t>
      </w:r>
    </w:p>
    <w:p w:rsidR="009D00E3" w:rsidRPr="009D00E3" w:rsidRDefault="009D00E3" w:rsidP="009D00E3">
      <w:pPr>
        <w:spacing w:line="360" w:lineRule="auto"/>
        <w:ind w:firstLine="708"/>
        <w:jc w:val="both"/>
        <w:rPr>
          <w:b/>
        </w:rPr>
      </w:pPr>
      <w:r w:rsidRPr="009D00E3">
        <w:rPr>
          <w:b/>
          <w:u w:val="single"/>
        </w:rPr>
        <w:t>Objem daňových príjmov</w:t>
      </w:r>
      <w:r w:rsidRPr="009D00E3">
        <w:t xml:space="preserve"> (sú primárne určené na financovanie originálnych kompetencií </w:t>
      </w:r>
      <w:proofErr w:type="spellStart"/>
      <w:r w:rsidRPr="009D00E3">
        <w:t>municipalít</w:t>
      </w:r>
      <w:proofErr w:type="spellEnd"/>
      <w:r w:rsidRPr="009D00E3">
        <w:t xml:space="preserve"> a tvoria ich podiely na daniach v správe štátu a miestne dane) </w:t>
      </w:r>
      <w:r w:rsidRPr="009D00E3">
        <w:rPr>
          <w:b/>
          <w:u w:val="single"/>
        </w:rPr>
        <w:t>sa za trištvrte rok 2011 zvýšil oproti trištvrte roku 2010 o 14,75 % a medziročne vzrástol aj ich podiel na celkových príjmoch o 4,54 percentuálnych bodov. Napriek pozitívnemu vývoju</w:t>
      </w:r>
      <w:r w:rsidRPr="009D00E3">
        <w:rPr>
          <w:b/>
        </w:rPr>
        <w:t xml:space="preserve"> </w:t>
      </w:r>
      <w:r w:rsidRPr="009D00E3">
        <w:t>(ktorý sme zaznamenali aj v prvom polroku 2011)</w:t>
      </w:r>
      <w:r w:rsidRPr="009D00E3">
        <w:rPr>
          <w:b/>
        </w:rPr>
        <w:t xml:space="preserve"> </w:t>
      </w:r>
      <w:r w:rsidRPr="009D00E3">
        <w:rPr>
          <w:b/>
          <w:u w:val="single"/>
        </w:rPr>
        <w:t>nedosiahol ich objem úroveň z trištvrte roka 2009</w:t>
      </w:r>
      <w:r w:rsidRPr="009D00E3">
        <w:rPr>
          <w:b/>
        </w:rPr>
        <w:t xml:space="preserve"> </w:t>
      </w:r>
      <w:r w:rsidRPr="009D00E3">
        <w:t>– kedy bol objem daňových príjmov vyšší o 2,16 % a ich podiel na celkových príjmoch</w:t>
      </w:r>
      <w:r w:rsidRPr="009D00E3">
        <w:rPr>
          <w:b/>
        </w:rPr>
        <w:t xml:space="preserve"> </w:t>
      </w:r>
      <w:r w:rsidRPr="009D00E3">
        <w:t xml:space="preserve">bol vyšší o 6,54 percentuálnych bodov. </w:t>
      </w:r>
      <w:r w:rsidRPr="009D00E3">
        <w:rPr>
          <w:b/>
        </w:rPr>
        <w:t xml:space="preserve">Podiel daňových príjmov na celkových príjmoch za trištvrte rok 2011 </w:t>
      </w:r>
      <w:r w:rsidRPr="009D00E3">
        <w:t>(43,25 %)</w:t>
      </w:r>
      <w:r w:rsidRPr="009D00E3">
        <w:rPr>
          <w:b/>
        </w:rPr>
        <w:t xml:space="preserve"> bol takmer rovnaký ako v prvom polroku 2011 </w:t>
      </w:r>
      <w:r w:rsidRPr="009D00E3">
        <w:t>(43,26 %)</w:t>
      </w:r>
      <w:r w:rsidRPr="009D00E3">
        <w:rPr>
          <w:b/>
        </w:rPr>
        <w:t xml:space="preserve">.  </w:t>
      </w:r>
    </w:p>
    <w:p w:rsidR="009D00E3" w:rsidRPr="009D00E3" w:rsidRDefault="009D00E3" w:rsidP="009D00E3">
      <w:pPr>
        <w:spacing w:line="360" w:lineRule="auto"/>
        <w:ind w:firstLine="708"/>
        <w:jc w:val="both"/>
        <w:rPr>
          <w:b/>
          <w:u w:val="single"/>
        </w:rPr>
      </w:pPr>
    </w:p>
    <w:p w:rsidR="009D00E3" w:rsidRPr="009D00E3" w:rsidRDefault="009D00E3" w:rsidP="009D00E3">
      <w:pPr>
        <w:spacing w:line="360" w:lineRule="auto"/>
        <w:ind w:firstLine="708"/>
        <w:jc w:val="both"/>
        <w:rPr>
          <w:color w:val="000000"/>
        </w:rPr>
      </w:pPr>
      <w:r w:rsidRPr="009D00E3">
        <w:rPr>
          <w:b/>
          <w:u w:val="single"/>
        </w:rPr>
        <w:t>Vývoj objemu daňových príjmov za trištvrte rok 2011 v rozhodujúcej miere ovplyvnil vývoj objemu podielových daní</w:t>
      </w:r>
      <w:r w:rsidRPr="009D00E3">
        <w:rPr>
          <w:b/>
        </w:rPr>
        <w:t xml:space="preserve"> </w:t>
      </w:r>
      <w:r w:rsidRPr="009D00E3">
        <w:t xml:space="preserve">(výnosu dane z príjmov fyzických osôb poukázaného územnej samospráve). </w:t>
      </w:r>
      <w:r w:rsidRPr="009D00E3">
        <w:rPr>
          <w:b/>
          <w:u w:val="single"/>
        </w:rPr>
        <w:t xml:space="preserve">Napriek tomu, že oproti rovnakému obdobiu roku 2010 sme zaznamenali nárast ich objemu o 20,13 % a zvýšenie ich podielu na celkových príjmoch o 4,45 percentuálnych bodov, </w:t>
      </w:r>
      <w:proofErr w:type="spellStart"/>
      <w:r w:rsidRPr="009D00E3">
        <w:rPr>
          <w:b/>
          <w:u w:val="single"/>
        </w:rPr>
        <w:t>municipálnym</w:t>
      </w:r>
      <w:proofErr w:type="spellEnd"/>
      <w:r w:rsidRPr="009D00E3">
        <w:rPr>
          <w:b/>
          <w:u w:val="single"/>
        </w:rPr>
        <w:t xml:space="preserve"> subjektom bola poukázaná na financovanie ich originálnych kompetencií suma o </w:t>
      </w:r>
      <w:r w:rsidRPr="009D00E3">
        <w:rPr>
          <w:b/>
          <w:color w:val="000000"/>
          <w:u w:val="single"/>
        </w:rPr>
        <w:t xml:space="preserve">64 423 786 € nižšia, ako v rovnakom </w:t>
      </w:r>
      <w:r w:rsidRPr="009D00E3">
        <w:rPr>
          <w:b/>
          <w:color w:val="000000"/>
          <w:u w:val="single"/>
        </w:rPr>
        <w:lastRenderedPageBreak/>
        <w:t>období roku 2009 (928 913 693 €).</w:t>
      </w:r>
      <w:r w:rsidRPr="009D00E3">
        <w:rPr>
          <w:b/>
          <w:color w:val="000000"/>
        </w:rPr>
        <w:t xml:space="preserve"> Zároveň mierne vzrástol podiel výnosu dane z príjmov na celkových príjmoch za trištvrte rok 2011 </w:t>
      </w:r>
      <w:r w:rsidRPr="009D00E3">
        <w:rPr>
          <w:color w:val="000000"/>
        </w:rPr>
        <w:t>(30,72 %)</w:t>
      </w:r>
      <w:r w:rsidRPr="009D00E3">
        <w:rPr>
          <w:b/>
          <w:color w:val="000000"/>
        </w:rPr>
        <w:t xml:space="preserve"> oproti prvému polroku 2011 </w:t>
      </w:r>
      <w:r w:rsidRPr="009D00E3">
        <w:rPr>
          <w:color w:val="000000"/>
        </w:rPr>
        <w:t>(29,95 %)</w:t>
      </w:r>
      <w:r w:rsidRPr="009D00E3">
        <w:rPr>
          <w:b/>
          <w:color w:val="000000"/>
        </w:rPr>
        <w:t xml:space="preserve"> o 0,77 percentuálneho bodu.</w:t>
      </w:r>
      <w:r w:rsidRPr="009D00E3">
        <w:rPr>
          <w:color w:val="000000"/>
        </w:rPr>
        <w:t xml:space="preserve"> </w:t>
      </w:r>
    </w:p>
    <w:p w:rsidR="009D00E3" w:rsidRPr="009D00E3" w:rsidRDefault="009D00E3" w:rsidP="009D00E3">
      <w:pPr>
        <w:spacing w:line="360" w:lineRule="auto"/>
        <w:ind w:firstLine="708"/>
        <w:jc w:val="both"/>
        <w:rPr>
          <w:b/>
          <w:color w:val="000000"/>
          <w:u w:val="single"/>
        </w:rPr>
      </w:pPr>
      <w:r w:rsidRPr="009D00E3">
        <w:rPr>
          <w:color w:val="000000"/>
        </w:rPr>
        <w:t xml:space="preserve">Pomalším medziročným tempom rastu v porovnaní s daňovými príjmami, o 5,46 % vzrástol oproti trištvrte roku 2010 objem </w:t>
      </w:r>
      <w:r w:rsidRPr="009D00E3">
        <w:rPr>
          <w:b/>
          <w:color w:val="000000"/>
        </w:rPr>
        <w:t xml:space="preserve">grantov a transferov </w:t>
      </w:r>
      <w:r w:rsidRPr="009D00E3">
        <w:t xml:space="preserve">(tvoria ich najmä príjmy zo štátneho rozpočtu určené na financovanie preneseného výkonu štátnej správy a prostriedky z Európskej únie) a o 2,10 percentuálneho bodu sa zvýšil ich podiel na celkových príjmoch </w:t>
      </w:r>
      <w:proofErr w:type="spellStart"/>
      <w:r w:rsidRPr="009D00E3">
        <w:t>municipalít</w:t>
      </w:r>
      <w:proofErr w:type="spellEnd"/>
      <w:r w:rsidRPr="009D00E3">
        <w:t>.</w:t>
      </w:r>
    </w:p>
    <w:p w:rsidR="009D00E3" w:rsidRPr="009D00E3" w:rsidRDefault="009D00E3" w:rsidP="009D00E3">
      <w:pPr>
        <w:spacing w:line="360" w:lineRule="auto"/>
        <w:ind w:left="142" w:firstLine="566"/>
        <w:jc w:val="both"/>
      </w:pPr>
      <w:r w:rsidRPr="009D00E3">
        <w:t xml:space="preserve">Medziročne najviac, o 31,80 % oproti trištvrte roku 2010, poklesol objem </w:t>
      </w:r>
      <w:r w:rsidRPr="009D00E3">
        <w:rPr>
          <w:b/>
        </w:rPr>
        <w:t xml:space="preserve">finančných príjmov </w:t>
      </w:r>
      <w:r w:rsidRPr="009D00E3">
        <w:t>(tvoria ich predovšetkým prostriedky z prijatých úverov, pôžičiek a návratných finančných výpomocí), čo sa prejavilo aj v  znížení ich podielu na celkových príjmoch oproti trištvrte roku 2010 o 5,93 percentuálnych bodov. Tempo medziročného poklesu finančných príjmov za trištvrte rok 2011 oproti rovnakému obdobiu v roku 2010 bolo vyššie, ako ich medziročný pokles za prvý polrok 2011 oproti rovnakému obdobiu v roku  2010 (o 3,97 percentuálnych bodov).</w:t>
      </w:r>
    </w:p>
    <w:p w:rsidR="009D00E3" w:rsidRPr="009D00E3" w:rsidRDefault="009D00E3" w:rsidP="009D00E3">
      <w:pPr>
        <w:spacing w:line="360" w:lineRule="auto"/>
        <w:ind w:left="142" w:firstLine="566"/>
        <w:jc w:val="both"/>
        <w:rPr>
          <w:b/>
        </w:rPr>
      </w:pPr>
      <w:r w:rsidRPr="009D00E3">
        <w:t xml:space="preserve">Nižší medziročný pokles, o 4,10 % oproti trištvrte roku 2010 sme zaznamenali u </w:t>
      </w:r>
      <w:r w:rsidRPr="009D00E3">
        <w:rPr>
          <w:b/>
        </w:rPr>
        <w:t xml:space="preserve">nedaňových príjmov </w:t>
      </w:r>
      <w:r w:rsidRPr="009D00E3">
        <w:t>(tvoria ich najmä príjmy z podnikania, vlastníctva majetku, administratívne a iné poplatky a platby, kapitálové príjmy - najmä príjmy z predaja majetku a úroky z vkladov). Zároveň sa medziročne veľmi mierne znížil ich podiel na celkových príjmoch oproti trištvrte roku 2010 o 0,71 percentuálnych bodov.</w:t>
      </w: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r w:rsidRPr="009D00E3">
        <w:rPr>
          <w:b/>
          <w:i/>
          <w:u w:val="single"/>
        </w:rPr>
        <w:t xml:space="preserve">Údaje za </w:t>
      </w:r>
      <w:proofErr w:type="spellStart"/>
      <w:r w:rsidRPr="009D00E3">
        <w:rPr>
          <w:b/>
          <w:i/>
          <w:u w:val="single"/>
        </w:rPr>
        <w:t>municipality</w:t>
      </w:r>
      <w:proofErr w:type="spellEnd"/>
      <w:r w:rsidRPr="009D00E3">
        <w:rPr>
          <w:b/>
          <w:i/>
          <w:u w:val="single"/>
        </w:rPr>
        <w:t xml:space="preserve"> podľa krajov – príjmy</w:t>
      </w:r>
    </w:p>
    <w:p w:rsidR="009D00E3" w:rsidRPr="009D00E3" w:rsidRDefault="009D00E3" w:rsidP="009D00E3">
      <w:pPr>
        <w:spacing w:line="360" w:lineRule="auto"/>
        <w:ind w:firstLine="708"/>
        <w:jc w:val="both"/>
      </w:pPr>
      <w:r w:rsidRPr="009D00E3">
        <w:rPr>
          <w:b/>
        </w:rPr>
        <w:t xml:space="preserve">Napriek miernemu medziročnému nárastu celkových príjmov </w:t>
      </w:r>
      <w:proofErr w:type="spellStart"/>
      <w:r w:rsidRPr="009D00E3">
        <w:rPr>
          <w:b/>
        </w:rPr>
        <w:t>municipalít</w:t>
      </w:r>
      <w:proofErr w:type="spellEnd"/>
      <w:r w:rsidRPr="009D00E3">
        <w:rPr>
          <w:b/>
        </w:rPr>
        <w:t xml:space="preserve"> v SR celkom, poklesli oproti trištvrte roku 2010 celkové príjmy v Bratislave hlavnom meste (o 15,77 %) a v Trenčianskom kraji (o 1,24 %). </w:t>
      </w:r>
      <w:r w:rsidRPr="009D00E3">
        <w:t xml:space="preserve">Rovnakú tendenciu k medziročnému poklesu celkových príjmov sme v týchto dvoch krajoch zaznamenali aj za prvý polrok 2011 v porovnaní s prvým polrokom 2010. V ostatných krajoch celkové príjmy vzrástli, avšak s rozdielnou intenzitou (graf č. 1). Najvyšší medziročný nárast celkových príjmov sme zaznamenali v Meste Košice (o 10,40 %), v Prešovskom kraji (o 6,70 %) a v Žilinskom kraji (o 6,58 %). Naopak, najnižšie tempo rastu mali </w:t>
      </w:r>
      <w:proofErr w:type="spellStart"/>
      <w:r w:rsidRPr="009D00E3">
        <w:t>municipality</w:t>
      </w:r>
      <w:proofErr w:type="spellEnd"/>
      <w:r w:rsidRPr="009D00E3">
        <w:t xml:space="preserve"> v Banskobystrickom kraji (o 1,06 %) a v Bratislavskom kraji (o 2,49 %).</w:t>
      </w:r>
    </w:p>
    <w:p w:rsidR="009D00E3" w:rsidRPr="009D00E3" w:rsidRDefault="009D00E3" w:rsidP="009D00E3">
      <w:pPr>
        <w:spacing w:line="360" w:lineRule="auto"/>
        <w:jc w:val="both"/>
        <w:rPr>
          <w:b/>
        </w:rPr>
      </w:pPr>
      <w:r w:rsidRPr="009D00E3">
        <w:rPr>
          <w:b/>
          <w:noProof/>
        </w:rPr>
        <w:lastRenderedPageBreak/>
        <w:drawing>
          <wp:inline distT="0" distB="0" distL="0" distR="0">
            <wp:extent cx="5553710" cy="2895600"/>
            <wp:effectExtent l="19050" t="0" r="2794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00E3" w:rsidRPr="009D00E3" w:rsidRDefault="009D00E3" w:rsidP="009D00E3">
      <w:pPr>
        <w:spacing w:line="360" w:lineRule="auto"/>
        <w:jc w:val="both"/>
      </w:pPr>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 r.o.</w:t>
      </w:r>
    </w:p>
    <w:p w:rsidR="009D00E3" w:rsidRPr="009D00E3" w:rsidRDefault="009D00E3" w:rsidP="009D00E3">
      <w:pPr>
        <w:spacing w:line="360" w:lineRule="auto"/>
        <w:ind w:firstLine="708"/>
        <w:jc w:val="both"/>
      </w:pPr>
    </w:p>
    <w:p w:rsidR="009D00E3" w:rsidRPr="009D00E3" w:rsidRDefault="009D00E3" w:rsidP="009D00E3">
      <w:pPr>
        <w:spacing w:line="360" w:lineRule="auto"/>
        <w:ind w:firstLine="708"/>
        <w:jc w:val="both"/>
      </w:pPr>
      <w:r w:rsidRPr="009D00E3">
        <w:t>Na rozdiel od výsledkov medziročného porovnania prvého polroku 2011 a 2010, kedy sme vo všetkých krajoch zaznamenali vyšší ako 20 % nárast výnosu dane z príjmov fyzických osôb poukázaného územnej samospráve</w:t>
      </w:r>
      <w:r w:rsidRPr="009D00E3">
        <w:rPr>
          <w:b/>
        </w:rPr>
        <w:t xml:space="preserve">, v troch krajoch bol pri medziročnom porovnaní trištvrte roka 2011 a 2010 nárast výnosu dane z príjmov fyzických osôb nižší ako 20 % -  Žilinský kraj (17,02 %), Košický kraj (17,78 %), Trnavský kraj (17,86 %). </w:t>
      </w:r>
      <w:r w:rsidRPr="009D00E3">
        <w:t>Trnavský kraj mal zároveň najnižší podiel výnosu dane z príjmov fyzických osôb na celkových príjmoch, iba 27,73 % (tabuľka č. 2).</w:t>
      </w:r>
    </w:p>
    <w:p w:rsidR="009D00E3" w:rsidRPr="009D00E3" w:rsidRDefault="009D00E3" w:rsidP="009D00E3">
      <w:pPr>
        <w:ind w:left="1418" w:hanging="1418"/>
        <w:jc w:val="both"/>
      </w:pPr>
      <w:r w:rsidRPr="009D00E3">
        <w:t xml:space="preserve">Tabuľka č. 2: Vývoj celkových príjmov </w:t>
      </w:r>
      <w:proofErr w:type="spellStart"/>
      <w:r w:rsidRPr="009D00E3">
        <w:t>municipalít</w:t>
      </w:r>
      <w:proofErr w:type="spellEnd"/>
      <w:r w:rsidRPr="009D00E3">
        <w:t xml:space="preserve"> (vrátane ich rozpočtových organizácií) a vývoj objemu a podielu výnosu dane z príjmov fyzických osôb na celkových príjmoch za jednotlivé kraje</w:t>
      </w:r>
    </w:p>
    <w:tbl>
      <w:tblPr>
        <w:tblW w:w="9082" w:type="dxa"/>
        <w:tblInd w:w="60" w:type="dxa"/>
        <w:tblCellMar>
          <w:left w:w="70" w:type="dxa"/>
          <w:right w:w="70" w:type="dxa"/>
        </w:tblCellMar>
        <w:tblLook w:val="04A0"/>
      </w:tblPr>
      <w:tblGrid>
        <w:gridCol w:w="2137"/>
        <w:gridCol w:w="1460"/>
        <w:gridCol w:w="1233"/>
        <w:gridCol w:w="850"/>
        <w:gridCol w:w="1418"/>
        <w:gridCol w:w="850"/>
        <w:gridCol w:w="1134"/>
      </w:tblGrid>
      <w:tr w:rsidR="009D00E3" w:rsidRPr="009D00E3" w:rsidTr="00B521E1">
        <w:trPr>
          <w:trHeight w:val="705"/>
          <w:tblHeader/>
        </w:trPr>
        <w:tc>
          <w:tcPr>
            <w:tcW w:w="3597" w:type="dxa"/>
            <w:gridSpan w:val="2"/>
            <w:vMerge w:val="restart"/>
            <w:tcBorders>
              <w:top w:val="single" w:sz="8" w:space="0" w:color="auto"/>
              <w:left w:val="single" w:sz="8" w:space="0" w:color="auto"/>
              <w:bottom w:val="nil"/>
              <w:right w:val="single" w:sz="8" w:space="0" w:color="000000"/>
            </w:tcBorders>
            <w:shd w:val="clear" w:color="auto" w:fill="FFC000"/>
            <w:vAlign w:val="bottom"/>
            <w:hideMark/>
          </w:tcPr>
          <w:p w:rsidR="009D00E3" w:rsidRPr="009D00E3" w:rsidRDefault="009D00E3" w:rsidP="00B521E1">
            <w:pPr>
              <w:jc w:val="center"/>
              <w:rPr>
                <w:b/>
                <w:bCs/>
                <w:color w:val="000000"/>
                <w:sz w:val="20"/>
                <w:szCs w:val="20"/>
              </w:rPr>
            </w:pPr>
            <w:r w:rsidRPr="009D00E3">
              <w:rPr>
                <w:b/>
                <w:bCs/>
                <w:color w:val="000000"/>
                <w:sz w:val="20"/>
                <w:szCs w:val="20"/>
              </w:rPr>
              <w:t xml:space="preserve">Výnosy dane z príjmov poukázaných územnej samospráve a celkové príjmy </w:t>
            </w:r>
            <w:proofErr w:type="spellStart"/>
            <w:r w:rsidRPr="009D00E3">
              <w:rPr>
                <w:b/>
                <w:bCs/>
                <w:color w:val="000000"/>
                <w:sz w:val="20"/>
                <w:szCs w:val="20"/>
              </w:rPr>
              <w:t>municipalít</w:t>
            </w:r>
            <w:proofErr w:type="spellEnd"/>
            <w:r w:rsidRPr="009D00E3">
              <w:rPr>
                <w:b/>
                <w:bCs/>
                <w:color w:val="000000"/>
                <w:sz w:val="20"/>
                <w:szCs w:val="20"/>
              </w:rPr>
              <w:t xml:space="preserve"> za jednotlivé kraje</w:t>
            </w:r>
          </w:p>
        </w:tc>
        <w:tc>
          <w:tcPr>
            <w:tcW w:w="2083" w:type="dxa"/>
            <w:gridSpan w:val="2"/>
            <w:tcBorders>
              <w:top w:val="single" w:sz="8" w:space="0" w:color="auto"/>
              <w:left w:val="nil"/>
              <w:bottom w:val="single" w:sz="8" w:space="0" w:color="auto"/>
              <w:right w:val="single" w:sz="8" w:space="0" w:color="000000"/>
            </w:tcBorders>
            <w:shd w:val="clear" w:color="auto" w:fill="FFC000"/>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2010</w:t>
            </w:r>
          </w:p>
        </w:tc>
        <w:tc>
          <w:tcPr>
            <w:tcW w:w="2268" w:type="dxa"/>
            <w:gridSpan w:val="2"/>
            <w:tcBorders>
              <w:top w:val="single" w:sz="8" w:space="0" w:color="auto"/>
              <w:left w:val="nil"/>
              <w:bottom w:val="single" w:sz="8" w:space="0" w:color="auto"/>
              <w:right w:val="nil"/>
            </w:tcBorders>
            <w:shd w:val="clear" w:color="auto" w:fill="FFC000"/>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FFC000"/>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 trištvrte rok 2010 v %</w:t>
            </w:r>
          </w:p>
        </w:tc>
      </w:tr>
      <w:tr w:rsidR="009D00E3" w:rsidRPr="009D00E3" w:rsidTr="00B521E1">
        <w:trPr>
          <w:trHeight w:val="315"/>
          <w:tblHeader/>
        </w:trPr>
        <w:tc>
          <w:tcPr>
            <w:tcW w:w="3597" w:type="dxa"/>
            <w:gridSpan w:val="2"/>
            <w:vMerge/>
            <w:tcBorders>
              <w:top w:val="single" w:sz="8" w:space="0" w:color="auto"/>
              <w:left w:val="single" w:sz="8" w:space="0" w:color="auto"/>
              <w:bottom w:val="nil"/>
              <w:right w:val="single" w:sz="8" w:space="0" w:color="000000"/>
            </w:tcBorders>
            <w:vAlign w:val="center"/>
            <w:hideMark/>
          </w:tcPr>
          <w:p w:rsidR="009D00E3" w:rsidRPr="009D00E3" w:rsidRDefault="009D00E3" w:rsidP="00B521E1">
            <w:pPr>
              <w:rPr>
                <w:b/>
                <w:bCs/>
                <w:color w:val="000000"/>
                <w:sz w:val="20"/>
                <w:szCs w:val="20"/>
              </w:rPr>
            </w:pPr>
          </w:p>
        </w:tc>
        <w:tc>
          <w:tcPr>
            <w:tcW w:w="1233" w:type="dxa"/>
            <w:tcBorders>
              <w:top w:val="nil"/>
              <w:left w:val="nil"/>
              <w:bottom w:val="nil"/>
              <w:right w:val="single" w:sz="8" w:space="0" w:color="auto"/>
            </w:tcBorders>
            <w:shd w:val="clear" w:color="auto" w:fill="FFC000"/>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850" w:type="dxa"/>
            <w:tcBorders>
              <w:top w:val="nil"/>
              <w:left w:val="nil"/>
              <w:bottom w:val="nil"/>
              <w:right w:val="single" w:sz="8" w:space="0" w:color="auto"/>
            </w:tcBorders>
            <w:shd w:val="clear" w:color="auto" w:fill="FFC000"/>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418" w:type="dxa"/>
            <w:tcBorders>
              <w:top w:val="nil"/>
              <w:left w:val="nil"/>
              <w:bottom w:val="nil"/>
              <w:right w:val="single" w:sz="8" w:space="0" w:color="auto"/>
            </w:tcBorders>
            <w:shd w:val="clear" w:color="auto" w:fill="FFC000"/>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850" w:type="dxa"/>
            <w:tcBorders>
              <w:top w:val="nil"/>
              <w:left w:val="nil"/>
              <w:bottom w:val="nil"/>
              <w:right w:val="nil"/>
            </w:tcBorders>
            <w:shd w:val="clear" w:color="auto" w:fill="FFC000"/>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D00E3" w:rsidRPr="009D00E3" w:rsidRDefault="009D00E3" w:rsidP="00B521E1">
            <w:pPr>
              <w:rPr>
                <w:b/>
                <w:bCs/>
                <w:color w:val="000000"/>
                <w:sz w:val="20"/>
                <w:szCs w:val="20"/>
              </w:rPr>
            </w:pPr>
          </w:p>
        </w:tc>
      </w:tr>
      <w:tr w:rsidR="009D00E3" w:rsidRPr="009D00E3" w:rsidTr="00B521E1">
        <w:trPr>
          <w:trHeight w:val="525"/>
        </w:trPr>
        <w:tc>
          <w:tcPr>
            <w:tcW w:w="2137" w:type="dxa"/>
            <w:vMerge w:val="restart"/>
            <w:tcBorders>
              <w:top w:val="single" w:sz="8" w:space="0" w:color="000000"/>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Bratislavský kraj</w:t>
            </w: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47 994 371</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25,42</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59 384 335</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30,69</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23,73</w:t>
            </w:r>
          </w:p>
        </w:tc>
      </w:tr>
      <w:tr w:rsidR="009D00E3" w:rsidRPr="009D00E3" w:rsidTr="00B521E1">
        <w:trPr>
          <w:trHeight w:val="315"/>
        </w:trPr>
        <w:tc>
          <w:tcPr>
            <w:tcW w:w="2137" w:type="dxa"/>
            <w:vMerge/>
            <w:tcBorders>
              <w:top w:val="single" w:sz="8" w:space="0" w:color="000000"/>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188 786 305</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193 485 455</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2,49</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Trnavský kraj</w:t>
            </w:r>
          </w:p>
        </w:tc>
        <w:tc>
          <w:tcPr>
            <w:tcW w:w="1460" w:type="dxa"/>
            <w:tcBorders>
              <w:top w:val="nil"/>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69 058 536</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24,31</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81 395 583</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27,73</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17,86</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284 117 773</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293 499 390</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3,30</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Trenčiansky kraj</w:t>
            </w:r>
          </w:p>
        </w:tc>
        <w:tc>
          <w:tcPr>
            <w:tcW w:w="1460" w:type="dxa"/>
            <w:tcBorders>
              <w:top w:val="nil"/>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73 738 101</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25,54</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89 476 293</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31,38</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21,34</w:t>
            </w:r>
          </w:p>
        </w:tc>
      </w:tr>
      <w:tr w:rsidR="009D00E3" w:rsidRPr="009D00E3" w:rsidTr="00B521E1">
        <w:trPr>
          <w:trHeight w:val="315"/>
        </w:trPr>
        <w:tc>
          <w:tcPr>
            <w:tcW w:w="2137" w:type="dxa"/>
            <w:vMerge/>
            <w:tcBorders>
              <w:top w:val="nil"/>
              <w:left w:val="single" w:sz="8" w:space="0" w:color="auto"/>
              <w:bottom w:val="single" w:sz="4" w:space="0" w:color="auto"/>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288 675 662</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285 107 481</w:t>
            </w:r>
          </w:p>
        </w:tc>
        <w:tc>
          <w:tcPr>
            <w:tcW w:w="850" w:type="dxa"/>
            <w:tcBorders>
              <w:top w:val="single" w:sz="4" w:space="0" w:color="auto"/>
              <w:left w:val="single" w:sz="8" w:space="0" w:color="auto"/>
              <w:bottom w:val="single" w:sz="4"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4"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-1,24</w:t>
            </w:r>
          </w:p>
        </w:tc>
      </w:tr>
      <w:tr w:rsidR="009D00E3" w:rsidRPr="009D00E3" w:rsidTr="00B521E1">
        <w:trPr>
          <w:trHeight w:val="525"/>
        </w:trPr>
        <w:tc>
          <w:tcPr>
            <w:tcW w:w="21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Nitriansky kraj</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4"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81 754 114</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25,12</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98 869 744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29,19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20,94</w:t>
            </w:r>
          </w:p>
        </w:tc>
      </w:tr>
      <w:tr w:rsidR="009D00E3" w:rsidRPr="009D00E3" w:rsidTr="00B521E1">
        <w:trPr>
          <w:trHeight w:val="315"/>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325 397 537</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338 748 058</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4,10</w:t>
            </w:r>
          </w:p>
        </w:tc>
      </w:tr>
      <w:tr w:rsidR="009D00E3" w:rsidRPr="009D00E3" w:rsidTr="00B521E1">
        <w:trPr>
          <w:trHeight w:val="540"/>
        </w:trPr>
        <w:tc>
          <w:tcPr>
            <w:tcW w:w="21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lastRenderedPageBreak/>
              <w:t>Žilinský kraj</w:t>
            </w:r>
          </w:p>
        </w:tc>
        <w:tc>
          <w:tcPr>
            <w:tcW w:w="1460" w:type="dxa"/>
            <w:tcBorders>
              <w:top w:val="nil"/>
              <w:left w:val="single" w:sz="4"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101 856 037</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29,25</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119 196 785</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32,12</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17,02</w:t>
            </w:r>
          </w:p>
        </w:tc>
      </w:tr>
      <w:tr w:rsidR="009D00E3" w:rsidRPr="009D00E3" w:rsidTr="00B521E1">
        <w:trPr>
          <w:trHeight w:val="315"/>
        </w:trPr>
        <w:tc>
          <w:tcPr>
            <w:tcW w:w="2137"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348 228 704</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371 146 629</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6,58</w:t>
            </w:r>
          </w:p>
        </w:tc>
      </w:tr>
      <w:tr w:rsidR="009D00E3" w:rsidRPr="009D00E3" w:rsidTr="00B521E1">
        <w:trPr>
          <w:trHeight w:val="540"/>
        </w:trPr>
        <w:tc>
          <w:tcPr>
            <w:tcW w:w="2137" w:type="dxa"/>
            <w:vMerge w:val="restart"/>
            <w:tcBorders>
              <w:top w:val="single" w:sz="4" w:space="0" w:color="auto"/>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proofErr w:type="spellStart"/>
            <w:r w:rsidRPr="009D00E3">
              <w:rPr>
                <w:color w:val="000000"/>
                <w:sz w:val="20"/>
                <w:szCs w:val="20"/>
              </w:rPr>
              <w:t>Banskobys</w:t>
            </w:r>
            <w:proofErr w:type="spellEnd"/>
            <w:r w:rsidRPr="009D00E3">
              <w:rPr>
                <w:color w:val="000000"/>
                <w:sz w:val="20"/>
                <w:szCs w:val="20"/>
              </w:rPr>
              <w:t>. kraj</w:t>
            </w:r>
          </w:p>
        </w:tc>
        <w:tc>
          <w:tcPr>
            <w:tcW w:w="1460" w:type="dxa"/>
            <w:tcBorders>
              <w:top w:val="nil"/>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81 876 392</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26,84</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98 413 281</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31,92</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20,20</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nil"/>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305 066 504</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308 294 212</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1,06</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Prešovský kraj</w:t>
            </w:r>
          </w:p>
        </w:tc>
        <w:tc>
          <w:tcPr>
            <w:tcW w:w="1460" w:type="dxa"/>
            <w:tcBorders>
              <w:top w:val="nil"/>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108 924 497</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25,82</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131 623 637</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29,24</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20,84</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421 888 415</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450 162 674</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6,70</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Košický kraj</w:t>
            </w: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72 240 505</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25,02</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85 085 465</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28,07</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17,78</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288 692 814</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303 162 421</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5,01</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Bratislava hlavné mesto</w:t>
            </w: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51 718 187</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27,89</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63 343 733</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40,55</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22,48</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185 444 937</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156 208 112</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-15,77</w:t>
            </w:r>
          </w:p>
        </w:tc>
      </w:tr>
      <w:tr w:rsidR="009D00E3" w:rsidRPr="009D00E3" w:rsidTr="00B521E1">
        <w:trPr>
          <w:trHeight w:val="540"/>
        </w:trPr>
        <w:tc>
          <w:tcPr>
            <w:tcW w:w="2137" w:type="dxa"/>
            <w:vMerge w:val="restart"/>
            <w:tcBorders>
              <w:top w:val="nil"/>
              <w:left w:val="single" w:sz="8" w:space="0" w:color="auto"/>
              <w:bottom w:val="single" w:sz="8" w:space="0" w:color="000000"/>
              <w:right w:val="nil"/>
            </w:tcBorders>
            <w:shd w:val="clear" w:color="auto" w:fill="auto"/>
            <w:vAlign w:val="bottom"/>
            <w:hideMark/>
          </w:tcPr>
          <w:p w:rsidR="009D00E3" w:rsidRPr="009D00E3" w:rsidRDefault="009D00E3" w:rsidP="00B521E1">
            <w:pPr>
              <w:jc w:val="center"/>
              <w:rPr>
                <w:color w:val="000000"/>
                <w:sz w:val="20"/>
                <w:szCs w:val="20"/>
              </w:rPr>
            </w:pPr>
            <w:r w:rsidRPr="009D00E3">
              <w:rPr>
                <w:color w:val="000000"/>
                <w:sz w:val="20"/>
                <w:szCs w:val="20"/>
              </w:rPr>
              <w:t>Mesto Košice</w:t>
            </w: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Výnos dane z príjmov FO</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30 449 475</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29,53</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37 701 051</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33,12</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23,82</w:t>
            </w:r>
          </w:p>
        </w:tc>
      </w:tr>
      <w:tr w:rsidR="009D00E3" w:rsidRPr="009D00E3" w:rsidTr="00B521E1">
        <w:trPr>
          <w:trHeight w:val="315"/>
        </w:trPr>
        <w:tc>
          <w:tcPr>
            <w:tcW w:w="2137" w:type="dxa"/>
            <w:vMerge/>
            <w:tcBorders>
              <w:top w:val="nil"/>
              <w:left w:val="single" w:sz="8" w:space="0" w:color="auto"/>
              <w:bottom w:val="single" w:sz="8" w:space="0" w:color="000000"/>
              <w:right w:val="nil"/>
            </w:tcBorders>
            <w:vAlign w:val="center"/>
            <w:hideMark/>
          </w:tcPr>
          <w:p w:rsidR="009D00E3" w:rsidRPr="009D00E3" w:rsidRDefault="009D00E3" w:rsidP="00B521E1">
            <w:pPr>
              <w:rPr>
                <w:color w:val="000000"/>
                <w:sz w:val="20"/>
                <w:szCs w:val="20"/>
              </w:rPr>
            </w:pPr>
          </w:p>
        </w:tc>
        <w:tc>
          <w:tcPr>
            <w:tcW w:w="1460" w:type="dxa"/>
            <w:tcBorders>
              <w:top w:val="single" w:sz="8" w:space="0" w:color="auto"/>
              <w:left w:val="single" w:sz="8" w:space="0" w:color="auto"/>
              <w:bottom w:val="single" w:sz="4" w:space="0" w:color="auto"/>
              <w:right w:val="nil"/>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Príjmy spolu</w:t>
            </w:r>
          </w:p>
        </w:tc>
        <w:tc>
          <w:tcPr>
            <w:tcW w:w="1233" w:type="dxa"/>
            <w:tcBorders>
              <w:top w:val="single" w:sz="4" w:space="0" w:color="auto"/>
              <w:left w:val="single" w:sz="8" w:space="0" w:color="auto"/>
              <w:bottom w:val="single" w:sz="8"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103 101 625</w:t>
            </w:r>
          </w:p>
        </w:tc>
        <w:tc>
          <w:tcPr>
            <w:tcW w:w="850"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418" w:type="dxa"/>
            <w:tcBorders>
              <w:top w:val="single" w:sz="4" w:space="0" w:color="auto"/>
              <w:left w:val="single" w:sz="8" w:space="0" w:color="auto"/>
              <w:bottom w:val="single" w:sz="8" w:space="0" w:color="auto"/>
              <w:right w:val="single" w:sz="4" w:space="0" w:color="auto"/>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113 828 865</w:t>
            </w:r>
          </w:p>
        </w:tc>
        <w:tc>
          <w:tcPr>
            <w:tcW w:w="850" w:type="dxa"/>
            <w:tcBorders>
              <w:top w:val="single" w:sz="4" w:space="0" w:color="auto"/>
              <w:left w:val="single" w:sz="8" w:space="0" w:color="auto"/>
              <w:bottom w:val="single" w:sz="8" w:space="0" w:color="auto"/>
              <w:right w:val="nil"/>
            </w:tcBorders>
            <w:shd w:val="clear" w:color="000000" w:fill="FFFFFF"/>
            <w:noWrap/>
            <w:vAlign w:val="bottom"/>
            <w:hideMark/>
          </w:tcPr>
          <w:p w:rsidR="009D00E3" w:rsidRPr="009D00E3" w:rsidRDefault="009D00E3" w:rsidP="00B521E1">
            <w:pPr>
              <w:jc w:val="right"/>
              <w:rPr>
                <w:color w:val="000000"/>
                <w:sz w:val="20"/>
                <w:szCs w:val="20"/>
              </w:rPr>
            </w:pPr>
            <w:r w:rsidRPr="009D00E3">
              <w:rPr>
                <w:color w:val="000000"/>
                <w:sz w:val="20"/>
                <w:szCs w:val="20"/>
              </w:rPr>
              <w:t>100,00</w:t>
            </w:r>
          </w:p>
        </w:tc>
        <w:tc>
          <w:tcPr>
            <w:tcW w:w="1134" w:type="dxa"/>
            <w:tcBorders>
              <w:top w:val="nil"/>
              <w:left w:val="single" w:sz="8" w:space="0" w:color="auto"/>
              <w:bottom w:val="single" w:sz="8" w:space="0" w:color="auto"/>
              <w:right w:val="single" w:sz="8"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10,40</w:t>
            </w:r>
          </w:p>
        </w:tc>
      </w:tr>
    </w:tbl>
    <w:p w:rsidR="009D00E3" w:rsidRPr="009D00E3" w:rsidRDefault="009D00E3" w:rsidP="009D00E3">
      <w:pPr>
        <w:spacing w:line="360" w:lineRule="auto"/>
        <w:jc w:val="both"/>
      </w:pPr>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 r.o.</w:t>
      </w:r>
    </w:p>
    <w:p w:rsidR="009D00E3" w:rsidRPr="009D00E3" w:rsidRDefault="009D00E3" w:rsidP="009D00E3">
      <w:pPr>
        <w:spacing w:line="360" w:lineRule="auto"/>
        <w:ind w:firstLine="708"/>
        <w:jc w:val="both"/>
      </w:pPr>
      <w:r w:rsidRPr="009D00E3">
        <w:rPr>
          <w:b/>
        </w:rPr>
        <w:t xml:space="preserve">Medziročne najväčší nárast výnosu dane z príjmov fyzických osôb sme zaznamenali v Meste Košice </w:t>
      </w:r>
      <w:r w:rsidRPr="009D00E3">
        <w:t>(o 23,82 %),</w:t>
      </w:r>
      <w:r w:rsidRPr="009D00E3">
        <w:rPr>
          <w:b/>
        </w:rPr>
        <w:t xml:space="preserve"> v Bratislavskom kraji </w:t>
      </w:r>
      <w:r w:rsidRPr="009D00E3">
        <w:t xml:space="preserve">(o 23,73 %) a v </w:t>
      </w:r>
      <w:r w:rsidRPr="009D00E3">
        <w:rPr>
          <w:b/>
        </w:rPr>
        <w:t>Bratislave hlavnom meste</w:t>
      </w:r>
      <w:r w:rsidRPr="009D00E3">
        <w:t xml:space="preserve"> (o 22,48 %). Spomedzi nich mali najvyšší podiel výnosu dane z príjmov fyzických osôb na celkových príjmoch Bratislava hlavné mesto (40,55 %) a Mesto Košice (33,12 %).</w:t>
      </w:r>
    </w:p>
    <w:p w:rsidR="009D00E3" w:rsidRPr="009D00E3" w:rsidRDefault="009D00E3" w:rsidP="009D00E3">
      <w:pPr>
        <w:spacing w:line="360" w:lineRule="auto"/>
        <w:ind w:firstLine="708"/>
        <w:jc w:val="both"/>
      </w:pPr>
      <w:r w:rsidRPr="009D00E3">
        <w:t xml:space="preserve">Rozdiely v objeme tzv. podielových daní z príjmov fyzických osôb poukázaných jednotlivým </w:t>
      </w:r>
      <w:proofErr w:type="spellStart"/>
      <w:r w:rsidRPr="009D00E3">
        <w:t>municipalitám</w:t>
      </w:r>
      <w:proofErr w:type="spellEnd"/>
      <w:r w:rsidRPr="009D00E3">
        <w:t xml:space="preserve"> sú spôsobené kritériami pre rozdeľovanie výnosu dane z príjmov fyzických osôb (s výnimkou dane z príjmov, ktorá sa vyberá zrážkou) podľa Nariadenia vlády SR č. 668/2004 Z. z. o rozdeľovaní výnosu dane z príjmov územnej samospráve.</w:t>
      </w: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r w:rsidRPr="009D00E3">
        <w:rPr>
          <w:b/>
          <w:i/>
          <w:u w:val="single"/>
        </w:rPr>
        <w:t xml:space="preserve">Údaje za </w:t>
      </w:r>
      <w:proofErr w:type="spellStart"/>
      <w:r w:rsidRPr="009D00E3">
        <w:rPr>
          <w:b/>
          <w:i/>
          <w:u w:val="single"/>
        </w:rPr>
        <w:t>municipality</w:t>
      </w:r>
      <w:proofErr w:type="spellEnd"/>
      <w:r w:rsidRPr="009D00E3">
        <w:rPr>
          <w:b/>
          <w:i/>
          <w:u w:val="single"/>
        </w:rPr>
        <w:t xml:space="preserve"> v SR celkom – výdavky</w:t>
      </w:r>
    </w:p>
    <w:p w:rsidR="009D00E3" w:rsidRPr="009D00E3" w:rsidRDefault="009D00E3" w:rsidP="009D00E3">
      <w:pPr>
        <w:spacing w:line="360" w:lineRule="auto"/>
        <w:ind w:firstLine="708"/>
        <w:jc w:val="both"/>
      </w:pPr>
      <w:r w:rsidRPr="009D00E3">
        <w:rPr>
          <w:b/>
        </w:rPr>
        <w:t xml:space="preserve">Celkové výdavky </w:t>
      </w:r>
      <w:proofErr w:type="spellStart"/>
      <w:r w:rsidRPr="009D00E3">
        <w:rPr>
          <w:b/>
        </w:rPr>
        <w:t>municipalít</w:t>
      </w:r>
      <w:proofErr w:type="spellEnd"/>
      <w:r w:rsidRPr="009D00E3">
        <w:t xml:space="preserve"> </w:t>
      </w:r>
      <w:r w:rsidRPr="009D00E3">
        <w:rPr>
          <w:b/>
        </w:rPr>
        <w:t>(vrátane ich rozpočtových organizácií)</w:t>
      </w:r>
      <w:r w:rsidRPr="009D00E3">
        <w:t xml:space="preserve"> </w:t>
      </w:r>
      <w:r w:rsidRPr="009D00E3">
        <w:rPr>
          <w:b/>
        </w:rPr>
        <w:t xml:space="preserve">za trištvrte rok 2011 vzrástli oproti rovnakému obdobiu roku 2010 veľmi mierne, iba o 0,67 %, </w:t>
      </w:r>
      <w:r w:rsidRPr="009D00E3">
        <w:t xml:space="preserve">čo bolo spôsobené rozdielnymi tendenciami vo vývoji jednotlivých druhov výdavkov: bežné, kapitálové a finančné výdavky (tabuľka č. 3). V porovnaní s prvým štvrťrokom 2011, kedy bol objem celkových výdavkov </w:t>
      </w:r>
      <w:proofErr w:type="spellStart"/>
      <w:r w:rsidRPr="009D00E3">
        <w:t>municipalít</w:t>
      </w:r>
      <w:proofErr w:type="spellEnd"/>
      <w:r w:rsidRPr="009D00E3">
        <w:t xml:space="preserve"> 723 323 813 € a s druhým štvrťrokom 2011, kedy </w:t>
      </w:r>
      <w:r w:rsidRPr="009D00E3">
        <w:lastRenderedPageBreak/>
        <w:t>dosiahol 876 088 778 €, bol ich objem v treťom štvrťroku najvyšší -  933 779 202 € (celkové výdavky za trištvrte rok 2011 boli vo výške 2 533 191 793</w:t>
      </w:r>
      <w:r w:rsidRPr="009D00E3">
        <w:rPr>
          <w:b/>
        </w:rPr>
        <w:t xml:space="preserve"> </w:t>
      </w:r>
      <w:r w:rsidRPr="009D00E3">
        <w:t>€).</w:t>
      </w:r>
    </w:p>
    <w:p w:rsidR="009D00E3" w:rsidRPr="009D00E3" w:rsidRDefault="009D00E3" w:rsidP="009D00E3">
      <w:pPr>
        <w:ind w:left="1701" w:hanging="1701"/>
        <w:jc w:val="both"/>
      </w:pPr>
    </w:p>
    <w:p w:rsidR="009D00E3" w:rsidRPr="009D00E3" w:rsidRDefault="009D00E3" w:rsidP="009D00E3">
      <w:pPr>
        <w:ind w:left="1701" w:hanging="1701"/>
        <w:jc w:val="both"/>
      </w:pPr>
      <w:r w:rsidRPr="009D00E3">
        <w:t xml:space="preserve">Tabuľka č. 3: Vývoj výšky a štruktúry celkových výdavkov </w:t>
      </w:r>
      <w:proofErr w:type="spellStart"/>
      <w:r w:rsidRPr="009D00E3">
        <w:t>municipalít</w:t>
      </w:r>
      <w:proofErr w:type="spellEnd"/>
      <w:r w:rsidRPr="009D00E3">
        <w:t xml:space="preserve"> (vrátane ich rozpočtových organizácií) v SR celkom</w:t>
      </w:r>
    </w:p>
    <w:tbl>
      <w:tblPr>
        <w:tblW w:w="9077" w:type="dxa"/>
        <w:tblInd w:w="65" w:type="dxa"/>
        <w:tblCellMar>
          <w:left w:w="70" w:type="dxa"/>
          <w:right w:w="70" w:type="dxa"/>
        </w:tblCellMar>
        <w:tblLook w:val="04A0"/>
      </w:tblPr>
      <w:tblGrid>
        <w:gridCol w:w="2699"/>
        <w:gridCol w:w="1417"/>
        <w:gridCol w:w="851"/>
        <w:gridCol w:w="1417"/>
        <w:gridCol w:w="992"/>
        <w:gridCol w:w="1701"/>
      </w:tblGrid>
      <w:tr w:rsidR="009D00E3" w:rsidRPr="009D00E3" w:rsidTr="00B521E1">
        <w:trPr>
          <w:trHeight w:val="330"/>
        </w:trPr>
        <w:tc>
          <w:tcPr>
            <w:tcW w:w="269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 xml:space="preserve">Objem a štruktúra celkových výdavkov </w:t>
            </w:r>
            <w:proofErr w:type="spellStart"/>
            <w:r w:rsidRPr="009D00E3">
              <w:rPr>
                <w:b/>
                <w:bCs/>
                <w:color w:val="000000"/>
                <w:sz w:val="20"/>
                <w:szCs w:val="20"/>
              </w:rPr>
              <w:t>municipalít</w:t>
            </w:r>
            <w:proofErr w:type="spellEnd"/>
            <w:r w:rsidRPr="009D00E3">
              <w:rPr>
                <w:b/>
                <w:bCs/>
                <w:color w:val="000000"/>
                <w:sz w:val="20"/>
                <w:szCs w:val="20"/>
              </w:rPr>
              <w:t xml:space="preserve"> v SR </w:t>
            </w:r>
          </w:p>
        </w:tc>
        <w:tc>
          <w:tcPr>
            <w:tcW w:w="2268" w:type="dxa"/>
            <w:gridSpan w:val="2"/>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2010</w:t>
            </w:r>
          </w:p>
        </w:tc>
        <w:tc>
          <w:tcPr>
            <w:tcW w:w="2409" w:type="dxa"/>
            <w:gridSpan w:val="2"/>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 trištvrte rok 2010 v %</w:t>
            </w:r>
          </w:p>
        </w:tc>
      </w:tr>
      <w:tr w:rsidR="009D00E3" w:rsidRPr="009D00E3" w:rsidTr="00B521E1">
        <w:trPr>
          <w:trHeight w:val="585"/>
        </w:trPr>
        <w:tc>
          <w:tcPr>
            <w:tcW w:w="2699"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b/>
                <w:bCs/>
                <w:color w:val="000000"/>
                <w:sz w:val="20"/>
                <w:szCs w:val="20"/>
              </w:rPr>
            </w:pPr>
          </w:p>
        </w:tc>
        <w:tc>
          <w:tcPr>
            <w:tcW w:w="1417" w:type="dxa"/>
            <w:tcBorders>
              <w:top w:val="nil"/>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851" w:type="dxa"/>
            <w:tcBorders>
              <w:top w:val="nil"/>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417" w:type="dxa"/>
            <w:tcBorders>
              <w:top w:val="nil"/>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992" w:type="dxa"/>
            <w:tcBorders>
              <w:top w:val="nil"/>
              <w:left w:val="nil"/>
              <w:bottom w:val="single" w:sz="4" w:space="0" w:color="auto"/>
              <w:right w:val="single" w:sz="4" w:space="0" w:color="auto"/>
            </w:tcBorders>
            <w:shd w:val="clear" w:color="auto" w:fill="8DB3E2" w:themeFill="text2" w:themeFillTint="66"/>
            <w:noWrap/>
            <w:vAlign w:val="bottom"/>
            <w:hideMark/>
          </w:tcPr>
          <w:p w:rsidR="009D00E3" w:rsidRPr="009D00E3" w:rsidRDefault="009D00E3" w:rsidP="00B521E1">
            <w:pPr>
              <w:jc w:val="center"/>
              <w:rPr>
                <w:b/>
                <w:bCs/>
                <w:color w:val="000000"/>
                <w:sz w:val="20"/>
                <w:szCs w:val="20"/>
              </w:rPr>
            </w:pPr>
            <w:r w:rsidRPr="009D00E3">
              <w:rPr>
                <w:b/>
                <w:bCs/>
                <w:color w:val="000000"/>
                <w:sz w:val="20"/>
                <w:szCs w:val="20"/>
              </w:rPr>
              <w:t>v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b/>
                <w:bCs/>
                <w:color w:val="000000"/>
                <w:sz w:val="20"/>
                <w:szCs w:val="20"/>
              </w:rPr>
            </w:pPr>
          </w:p>
        </w:tc>
      </w:tr>
      <w:tr w:rsidR="009D00E3" w:rsidRPr="009D00E3" w:rsidTr="00B521E1">
        <w:trPr>
          <w:trHeight w:val="3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Bežné</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1 750 292 881</w:t>
            </w:r>
          </w:p>
        </w:tc>
        <w:tc>
          <w:tcPr>
            <w:tcW w:w="85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69,56</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1 779 981 386</w:t>
            </w:r>
          </w:p>
        </w:tc>
        <w:tc>
          <w:tcPr>
            <w:tcW w:w="99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70,27</w:t>
            </w:r>
          </w:p>
        </w:tc>
        <w:tc>
          <w:tcPr>
            <w:tcW w:w="170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1,70</w:t>
            </w:r>
          </w:p>
        </w:tc>
      </w:tr>
      <w:tr w:rsidR="009D00E3" w:rsidRPr="009D00E3" w:rsidTr="00B521E1">
        <w:trPr>
          <w:trHeight w:val="3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 xml:space="preserve">Kapitálové </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653 849 780</w:t>
            </w:r>
          </w:p>
        </w:tc>
        <w:tc>
          <w:tcPr>
            <w:tcW w:w="85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25,98</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525 811 214</w:t>
            </w:r>
          </w:p>
        </w:tc>
        <w:tc>
          <w:tcPr>
            <w:tcW w:w="99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20,76</w:t>
            </w:r>
          </w:p>
        </w:tc>
        <w:tc>
          <w:tcPr>
            <w:tcW w:w="170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-19,58</w:t>
            </w:r>
          </w:p>
        </w:tc>
      </w:tr>
      <w:tr w:rsidR="009D00E3" w:rsidRPr="009D00E3" w:rsidTr="00B521E1">
        <w:trPr>
          <w:trHeight w:val="300"/>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
                <w:bCs/>
                <w:color w:val="000000"/>
                <w:sz w:val="20"/>
                <w:szCs w:val="20"/>
              </w:rPr>
            </w:pPr>
            <w:r w:rsidRPr="009D00E3">
              <w:rPr>
                <w:b/>
                <w:bCs/>
                <w:color w:val="000000"/>
                <w:sz w:val="20"/>
                <w:szCs w:val="20"/>
              </w:rPr>
              <w:t xml:space="preserve">Finančné </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112 118 578</w:t>
            </w:r>
          </w:p>
        </w:tc>
        <w:tc>
          <w:tcPr>
            <w:tcW w:w="85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4,46</w:t>
            </w:r>
          </w:p>
        </w:tc>
        <w:tc>
          <w:tcPr>
            <w:tcW w:w="1417"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227 399 193</w:t>
            </w:r>
          </w:p>
        </w:tc>
        <w:tc>
          <w:tcPr>
            <w:tcW w:w="99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8,98</w:t>
            </w:r>
          </w:p>
        </w:tc>
        <w:tc>
          <w:tcPr>
            <w:tcW w:w="1701"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102,82</w:t>
            </w:r>
          </w:p>
        </w:tc>
      </w:tr>
      <w:tr w:rsidR="009D00E3" w:rsidRPr="009D00E3" w:rsidTr="00B521E1">
        <w:trPr>
          <w:trHeight w:val="315"/>
        </w:trPr>
        <w:tc>
          <w:tcPr>
            <w:tcW w:w="2699" w:type="dxa"/>
            <w:tcBorders>
              <w:top w:val="nil"/>
              <w:left w:val="single" w:sz="4" w:space="0" w:color="auto"/>
              <w:bottom w:val="single" w:sz="4" w:space="0" w:color="auto"/>
              <w:right w:val="single" w:sz="4" w:space="0" w:color="auto"/>
            </w:tcBorders>
            <w:shd w:val="clear" w:color="000000" w:fill="B2B2B2"/>
            <w:vAlign w:val="bottom"/>
            <w:hideMark/>
          </w:tcPr>
          <w:p w:rsidR="009D00E3" w:rsidRPr="009D00E3" w:rsidRDefault="009D00E3" w:rsidP="00B521E1">
            <w:pPr>
              <w:rPr>
                <w:b/>
                <w:bCs/>
                <w:color w:val="000000"/>
                <w:sz w:val="20"/>
                <w:szCs w:val="20"/>
              </w:rPr>
            </w:pPr>
            <w:r w:rsidRPr="009D00E3">
              <w:rPr>
                <w:b/>
                <w:bCs/>
                <w:color w:val="000000"/>
                <w:sz w:val="20"/>
                <w:szCs w:val="20"/>
              </w:rPr>
              <w:t>Výdavky spolu</w:t>
            </w:r>
          </w:p>
        </w:tc>
        <w:tc>
          <w:tcPr>
            <w:tcW w:w="1417" w:type="dxa"/>
            <w:tcBorders>
              <w:top w:val="nil"/>
              <w:left w:val="nil"/>
              <w:bottom w:val="single" w:sz="4" w:space="0" w:color="auto"/>
              <w:right w:val="single" w:sz="4"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2 516 261 239</w:t>
            </w:r>
          </w:p>
        </w:tc>
        <w:tc>
          <w:tcPr>
            <w:tcW w:w="851" w:type="dxa"/>
            <w:tcBorders>
              <w:top w:val="nil"/>
              <w:left w:val="nil"/>
              <w:bottom w:val="single" w:sz="4" w:space="0" w:color="auto"/>
              <w:right w:val="single" w:sz="4"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100,00</w:t>
            </w:r>
          </w:p>
        </w:tc>
        <w:tc>
          <w:tcPr>
            <w:tcW w:w="1417" w:type="dxa"/>
            <w:tcBorders>
              <w:top w:val="nil"/>
              <w:left w:val="nil"/>
              <w:bottom w:val="single" w:sz="4" w:space="0" w:color="auto"/>
              <w:right w:val="single" w:sz="4"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2 533 191 793</w:t>
            </w:r>
          </w:p>
        </w:tc>
        <w:tc>
          <w:tcPr>
            <w:tcW w:w="992" w:type="dxa"/>
            <w:tcBorders>
              <w:top w:val="nil"/>
              <w:left w:val="nil"/>
              <w:bottom w:val="single" w:sz="4" w:space="0" w:color="auto"/>
              <w:right w:val="single" w:sz="4" w:space="0" w:color="auto"/>
            </w:tcBorders>
            <w:shd w:val="clear" w:color="000000" w:fill="B2B2B2"/>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100,00</w:t>
            </w:r>
          </w:p>
        </w:tc>
        <w:tc>
          <w:tcPr>
            <w:tcW w:w="1701" w:type="dxa"/>
            <w:tcBorders>
              <w:top w:val="nil"/>
              <w:left w:val="nil"/>
              <w:bottom w:val="single" w:sz="4" w:space="0" w:color="auto"/>
              <w:right w:val="single" w:sz="4" w:space="0" w:color="auto"/>
            </w:tcBorders>
            <w:shd w:val="clear" w:color="000000" w:fill="A5A5A5"/>
            <w:vAlign w:val="bottom"/>
            <w:hideMark/>
          </w:tcPr>
          <w:p w:rsidR="009D00E3" w:rsidRPr="009D00E3" w:rsidRDefault="009D00E3" w:rsidP="00B521E1">
            <w:pPr>
              <w:jc w:val="right"/>
              <w:rPr>
                <w:b/>
                <w:bCs/>
                <w:color w:val="000000"/>
                <w:sz w:val="20"/>
                <w:szCs w:val="20"/>
              </w:rPr>
            </w:pPr>
            <w:r w:rsidRPr="009D00E3">
              <w:rPr>
                <w:b/>
                <w:bCs/>
                <w:color w:val="000000"/>
                <w:sz w:val="20"/>
                <w:szCs w:val="20"/>
              </w:rPr>
              <w:t>0,67</w:t>
            </w:r>
          </w:p>
        </w:tc>
      </w:tr>
    </w:tbl>
    <w:p w:rsidR="009D00E3" w:rsidRPr="009D00E3" w:rsidRDefault="009D00E3" w:rsidP="009D00E3">
      <w:pPr>
        <w:spacing w:line="360" w:lineRule="auto"/>
      </w:pPr>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s.r.o.</w:t>
      </w:r>
    </w:p>
    <w:p w:rsidR="009D00E3" w:rsidRPr="009D00E3" w:rsidRDefault="009D00E3" w:rsidP="009D00E3">
      <w:pPr>
        <w:spacing w:line="360" w:lineRule="auto"/>
        <w:ind w:firstLine="708"/>
        <w:jc w:val="both"/>
      </w:pPr>
      <w:r w:rsidRPr="009D00E3">
        <w:rPr>
          <w:b/>
        </w:rPr>
        <w:t xml:space="preserve">Poradie jednotlivých druhov výdavkov z hľadiska ich podielu na celkových výdavkoch sa oproti trištvrte roku 2010 nezmenilo. </w:t>
      </w:r>
      <w:r w:rsidRPr="009D00E3">
        <w:t xml:space="preserve">Výrazne najväčší podiel mali bežné výdavky, s odstupom nasledovali kapitálové výdavky a najmenší podiel mali finančné výdavky. </w:t>
      </w:r>
    </w:p>
    <w:p w:rsidR="009D00E3" w:rsidRPr="009D00E3" w:rsidRDefault="009D00E3" w:rsidP="009D00E3">
      <w:pPr>
        <w:spacing w:line="360" w:lineRule="auto"/>
        <w:ind w:firstLine="708"/>
        <w:jc w:val="both"/>
      </w:pPr>
      <w:r w:rsidRPr="009D00E3">
        <w:t xml:space="preserve">Najmenej, iba o 1,70 %,  vzrástli za trištvrte rok 2011 oproti trištvrte roku 2010 </w:t>
      </w:r>
      <w:r w:rsidRPr="009D00E3">
        <w:rPr>
          <w:b/>
        </w:rPr>
        <w:t xml:space="preserve">bežné výdavky </w:t>
      </w:r>
      <w:r w:rsidRPr="009D00E3">
        <w:t>(zahŕňajú najmä platby za mzdy, platy, tovary a služby, poistné a bežné transfery - najmä príspevky a dotácie jednotlivcom, neziskovým právnickým osobám, príspevkovým organizáciám, rozpočtovým organizáciám, splátky úrokov a ostatné platby (nie istinu) súvisiace s úvermi). Podiel bežných výdavkov na celkových výdavkoch vysoko prekročil podiely ostatných druhov výdavkov a oproti trištvrte roku 2010 sa mierne zvýšil o 0,71 percentuálneho bodu.</w:t>
      </w:r>
    </w:p>
    <w:p w:rsidR="009D00E3" w:rsidRPr="009D00E3" w:rsidRDefault="009D00E3" w:rsidP="009D00E3">
      <w:pPr>
        <w:spacing w:line="360" w:lineRule="auto"/>
        <w:ind w:firstLine="708"/>
        <w:jc w:val="both"/>
      </w:pPr>
      <w:r w:rsidRPr="009D00E3">
        <w:t>Spomedzi jednotlivých druhov výdavkov sme iba u </w:t>
      </w:r>
      <w:r w:rsidRPr="009D00E3">
        <w:rPr>
          <w:b/>
        </w:rPr>
        <w:t xml:space="preserve">kapitálových výdavkoch </w:t>
      </w:r>
      <w:r w:rsidRPr="009D00E3">
        <w:t>(zahŕňajú napr. výdavky na obstaranie hmotného a nehmotného majetku a kapitálové transfery jednotlivcom, neziskovým právnickým osobám, príspevkovým a rozpočtovým organizáciám na nadobudnutie kapitálových aktív alebo kompenzáciu ich poškodenia) zaznamenali medziročný pokles o 19,58 %, ktorý bol sprevádzaný znížením ich podielu na celkových výdavkoch o 5,22 percentuálnych bodov oproti trištvrte roku 2010.</w:t>
      </w:r>
    </w:p>
    <w:p w:rsidR="009D00E3" w:rsidRPr="009D00E3" w:rsidRDefault="009D00E3" w:rsidP="009D00E3">
      <w:pPr>
        <w:tabs>
          <w:tab w:val="left" w:pos="3686"/>
        </w:tabs>
        <w:spacing w:line="360" w:lineRule="auto"/>
        <w:ind w:firstLine="708"/>
        <w:jc w:val="both"/>
        <w:rPr>
          <w:b/>
        </w:rPr>
      </w:pPr>
      <w:r w:rsidRPr="009D00E3">
        <w:t xml:space="preserve">Najvyšším tempom, až o 102,82 % vzrástli oproti trištvrte roku 2010 </w:t>
      </w:r>
      <w:r w:rsidRPr="009D00E3">
        <w:rPr>
          <w:b/>
        </w:rPr>
        <w:t xml:space="preserve">finančné výdavky </w:t>
      </w:r>
      <w:r w:rsidRPr="009D00E3">
        <w:t xml:space="preserve">(zahŕňajú najmä splácanie istiny z úverov a finančného lízingu), čo sa premietlo do zvýšenia ich podielu na celkových výdavkoch o 4,52 percentuálnych bodov. </w:t>
      </w:r>
      <w:r w:rsidRPr="009D00E3">
        <w:rPr>
          <w:b/>
        </w:rPr>
        <w:t>Vysoký medziročný nárast finančných výdavkov bol spôsobený splácaním cudzích zdrojov čerpaných v predchádzajúcich obdobiach.</w:t>
      </w: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r w:rsidRPr="009D00E3">
        <w:rPr>
          <w:b/>
          <w:i/>
          <w:u w:val="single"/>
        </w:rPr>
        <w:lastRenderedPageBreak/>
        <w:t xml:space="preserve">Údaje za </w:t>
      </w:r>
      <w:proofErr w:type="spellStart"/>
      <w:r w:rsidRPr="009D00E3">
        <w:rPr>
          <w:b/>
          <w:i/>
          <w:u w:val="single"/>
        </w:rPr>
        <w:t>municipality</w:t>
      </w:r>
      <w:proofErr w:type="spellEnd"/>
      <w:r w:rsidRPr="009D00E3">
        <w:rPr>
          <w:b/>
          <w:i/>
          <w:u w:val="single"/>
        </w:rPr>
        <w:t xml:space="preserve"> podľa krajov – výdavky</w:t>
      </w:r>
    </w:p>
    <w:p w:rsidR="009D00E3" w:rsidRPr="009D00E3" w:rsidRDefault="009D00E3" w:rsidP="009D00E3">
      <w:pPr>
        <w:tabs>
          <w:tab w:val="left" w:pos="709"/>
        </w:tabs>
        <w:spacing w:line="360" w:lineRule="auto"/>
        <w:jc w:val="both"/>
      </w:pPr>
      <w:r w:rsidRPr="009D00E3">
        <w:tab/>
        <w:t xml:space="preserve">Na rozdiel od celkovej tendencie k veľmi miernemu nárastu celkových výdavkov za </w:t>
      </w:r>
      <w:proofErr w:type="spellStart"/>
      <w:r w:rsidRPr="009D00E3">
        <w:t>municipality</w:t>
      </w:r>
      <w:proofErr w:type="spellEnd"/>
      <w:r w:rsidRPr="009D00E3">
        <w:t xml:space="preserve"> v SR oproti trištvrte roku 2010 </w:t>
      </w:r>
      <w:r w:rsidRPr="009D00E3">
        <w:rPr>
          <w:b/>
        </w:rPr>
        <w:t xml:space="preserve">sme v troch krajoch zaznamenali ich medziročný pokles. Najväčší bol v Bratislave hlavnom meste – o 19,12 %, v Trenčianskom kraji - o 7,72 % a v Banskobystrickom kraji - o 0,65 %. </w:t>
      </w:r>
      <w:r w:rsidRPr="009D00E3">
        <w:t>V ostatných krajoch celkové výdavky vzrástli, avšak s rozdielnou intenzitou (tabuľka č. 4). Ich najväčší nárast bol v Košickom kraji (o 6,77 %), v Nitrianskom kraji (o 6,14 %) a v Prešovskom kraji (o 5,24 %), naopak, najpomalšie vzrástli celkové výdavky v Trnavskom kraji (o 0,44 %).</w:t>
      </w:r>
    </w:p>
    <w:p w:rsidR="009D00E3" w:rsidRPr="009D00E3" w:rsidRDefault="009D00E3" w:rsidP="009D00E3">
      <w:pPr>
        <w:ind w:left="1701" w:hanging="1701"/>
        <w:jc w:val="both"/>
      </w:pPr>
    </w:p>
    <w:p w:rsidR="009D00E3" w:rsidRPr="009D00E3" w:rsidRDefault="009D00E3" w:rsidP="009D00E3">
      <w:pPr>
        <w:ind w:left="1701" w:hanging="1701"/>
        <w:jc w:val="both"/>
      </w:pPr>
      <w:r w:rsidRPr="009D00E3">
        <w:t xml:space="preserve">Tabuľka č. 4: </w:t>
      </w:r>
      <w:r w:rsidRPr="009D00E3">
        <w:tab/>
        <w:t xml:space="preserve">Vývoj výšky celkových výdavkov </w:t>
      </w:r>
      <w:proofErr w:type="spellStart"/>
      <w:r w:rsidRPr="009D00E3">
        <w:t>municipalít</w:t>
      </w:r>
      <w:proofErr w:type="spellEnd"/>
      <w:r w:rsidRPr="009D00E3">
        <w:t xml:space="preserve"> (vrátane ich rozpočtových organizácií) podľa krajov </w:t>
      </w:r>
    </w:p>
    <w:tbl>
      <w:tblPr>
        <w:tblW w:w="9077" w:type="dxa"/>
        <w:tblInd w:w="65" w:type="dxa"/>
        <w:tblCellMar>
          <w:left w:w="70" w:type="dxa"/>
          <w:right w:w="70" w:type="dxa"/>
        </w:tblCellMar>
        <w:tblLook w:val="04A0"/>
      </w:tblPr>
      <w:tblGrid>
        <w:gridCol w:w="3080"/>
        <w:gridCol w:w="1887"/>
        <w:gridCol w:w="2268"/>
        <w:gridCol w:w="1842"/>
      </w:tblGrid>
      <w:tr w:rsidR="009D00E3" w:rsidRPr="009D00E3" w:rsidTr="00B521E1">
        <w:trPr>
          <w:trHeight w:val="460"/>
        </w:trPr>
        <w:tc>
          <w:tcPr>
            <w:tcW w:w="3080"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9D00E3" w:rsidRPr="009D00E3" w:rsidRDefault="009D00E3" w:rsidP="00B521E1">
            <w:pPr>
              <w:jc w:val="center"/>
              <w:rPr>
                <w:b/>
                <w:bCs/>
                <w:color w:val="000000"/>
                <w:sz w:val="20"/>
                <w:szCs w:val="20"/>
              </w:rPr>
            </w:pPr>
            <w:r w:rsidRPr="009D00E3">
              <w:rPr>
                <w:b/>
                <w:bCs/>
                <w:color w:val="000000"/>
                <w:sz w:val="20"/>
                <w:szCs w:val="20"/>
              </w:rPr>
              <w:t xml:space="preserve">Výdavky </w:t>
            </w:r>
            <w:proofErr w:type="spellStart"/>
            <w:r w:rsidRPr="009D00E3">
              <w:rPr>
                <w:b/>
                <w:bCs/>
                <w:color w:val="000000"/>
                <w:sz w:val="20"/>
                <w:szCs w:val="20"/>
              </w:rPr>
              <w:t>municipalít</w:t>
            </w:r>
            <w:proofErr w:type="spellEnd"/>
            <w:r w:rsidRPr="009D00E3">
              <w:rPr>
                <w:b/>
                <w:bCs/>
                <w:color w:val="000000"/>
                <w:sz w:val="20"/>
                <w:szCs w:val="20"/>
              </w:rPr>
              <w:t xml:space="preserve"> v krajoch </w:t>
            </w:r>
          </w:p>
        </w:tc>
        <w:tc>
          <w:tcPr>
            <w:tcW w:w="188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2010</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w:t>
            </w:r>
          </w:p>
        </w:tc>
        <w:tc>
          <w:tcPr>
            <w:tcW w:w="1842" w:type="dxa"/>
            <w:vMerge w:val="restart"/>
            <w:tcBorders>
              <w:top w:val="single" w:sz="8" w:space="0" w:color="auto"/>
              <w:left w:val="nil"/>
              <w:bottom w:val="nil"/>
              <w:right w:val="single" w:sz="8" w:space="0" w:color="auto"/>
            </w:tcBorders>
            <w:shd w:val="clear" w:color="auto" w:fill="BFBFBF" w:themeFill="background1" w:themeFillShade="BF"/>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 trištvrte rok 2010 v %</w:t>
            </w:r>
          </w:p>
        </w:tc>
      </w:tr>
      <w:tr w:rsidR="009D00E3" w:rsidRPr="009D00E3" w:rsidTr="00B521E1">
        <w:trPr>
          <w:trHeight w:val="254"/>
        </w:trPr>
        <w:tc>
          <w:tcPr>
            <w:tcW w:w="3080" w:type="dxa"/>
            <w:tcBorders>
              <w:top w:val="nil"/>
              <w:left w:val="single" w:sz="4" w:space="0" w:color="auto"/>
              <w:bottom w:val="nil"/>
              <w:right w:val="single" w:sz="4" w:space="0" w:color="auto"/>
            </w:tcBorders>
            <w:shd w:val="clear" w:color="auto" w:fill="BFBFBF" w:themeFill="background1" w:themeFillShade="BF"/>
            <w:vAlign w:val="center"/>
            <w:hideMark/>
          </w:tcPr>
          <w:p w:rsidR="009D00E3" w:rsidRPr="009D00E3" w:rsidRDefault="009D00E3" w:rsidP="00B521E1">
            <w:pPr>
              <w:jc w:val="center"/>
              <w:rPr>
                <w:rFonts w:ascii="Calibri" w:hAnsi="Calibri"/>
                <w:b/>
                <w:bCs/>
                <w:color w:val="000000"/>
              </w:rPr>
            </w:pPr>
            <w:r w:rsidRPr="009D00E3">
              <w:rPr>
                <w:rFonts w:ascii="Calibri" w:hAnsi="Calibri"/>
                <w:b/>
                <w:bCs/>
                <w:color w:val="000000"/>
              </w:rPr>
              <w:t> </w:t>
            </w:r>
          </w:p>
        </w:tc>
        <w:tc>
          <w:tcPr>
            <w:tcW w:w="1887" w:type="dxa"/>
            <w:tcBorders>
              <w:top w:val="nil"/>
              <w:left w:val="nil"/>
              <w:bottom w:val="nil"/>
              <w:right w:val="single" w:sz="4" w:space="0" w:color="auto"/>
            </w:tcBorders>
            <w:shd w:val="clear" w:color="auto" w:fill="BFBFBF" w:themeFill="background1" w:themeFillShade="BF"/>
            <w:vAlign w:val="bottom"/>
            <w:hideMark/>
          </w:tcPr>
          <w:p w:rsidR="009D00E3" w:rsidRPr="009D00E3" w:rsidRDefault="009D00E3" w:rsidP="00B521E1">
            <w:pPr>
              <w:jc w:val="center"/>
              <w:rPr>
                <w:rFonts w:ascii="Calibri" w:hAnsi="Calibri"/>
                <w:b/>
                <w:bCs/>
                <w:color w:val="000000"/>
              </w:rPr>
            </w:pPr>
            <w:r w:rsidRPr="009D00E3">
              <w:rPr>
                <w:rFonts w:ascii="Calibri" w:hAnsi="Calibri"/>
                <w:b/>
                <w:bCs/>
                <w:color w:val="000000"/>
              </w:rPr>
              <w:t>v €</w:t>
            </w:r>
          </w:p>
        </w:tc>
        <w:tc>
          <w:tcPr>
            <w:tcW w:w="2268" w:type="dxa"/>
            <w:tcBorders>
              <w:top w:val="nil"/>
              <w:left w:val="nil"/>
              <w:bottom w:val="nil"/>
              <w:right w:val="single" w:sz="4" w:space="0" w:color="auto"/>
            </w:tcBorders>
            <w:shd w:val="clear" w:color="auto" w:fill="BFBFBF" w:themeFill="background1" w:themeFillShade="BF"/>
            <w:vAlign w:val="bottom"/>
            <w:hideMark/>
          </w:tcPr>
          <w:p w:rsidR="009D00E3" w:rsidRPr="009D00E3" w:rsidRDefault="009D00E3" w:rsidP="00B521E1">
            <w:pPr>
              <w:jc w:val="center"/>
              <w:rPr>
                <w:rFonts w:ascii="Calibri" w:hAnsi="Calibri"/>
                <w:b/>
                <w:bCs/>
                <w:color w:val="000000"/>
              </w:rPr>
            </w:pPr>
            <w:r w:rsidRPr="009D00E3">
              <w:rPr>
                <w:rFonts w:ascii="Calibri" w:hAnsi="Calibri"/>
                <w:b/>
                <w:bCs/>
                <w:color w:val="000000"/>
              </w:rPr>
              <w:t>v €</w:t>
            </w:r>
          </w:p>
        </w:tc>
        <w:tc>
          <w:tcPr>
            <w:tcW w:w="1842" w:type="dxa"/>
            <w:vMerge/>
            <w:tcBorders>
              <w:top w:val="single" w:sz="8" w:space="0" w:color="auto"/>
              <w:left w:val="nil"/>
              <w:bottom w:val="nil"/>
              <w:right w:val="single" w:sz="8" w:space="0" w:color="auto"/>
            </w:tcBorders>
            <w:vAlign w:val="center"/>
            <w:hideMark/>
          </w:tcPr>
          <w:p w:rsidR="009D00E3" w:rsidRPr="009D00E3" w:rsidRDefault="009D00E3" w:rsidP="00B521E1">
            <w:pPr>
              <w:rPr>
                <w:b/>
                <w:bCs/>
                <w:color w:val="000000"/>
                <w:sz w:val="20"/>
                <w:szCs w:val="20"/>
              </w:rPr>
            </w:pPr>
          </w:p>
        </w:tc>
      </w:tr>
      <w:tr w:rsidR="009D00E3" w:rsidRPr="009D00E3" w:rsidTr="00B521E1">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Bratislavský kraj</w:t>
            </w:r>
          </w:p>
        </w:tc>
        <w:tc>
          <w:tcPr>
            <w:tcW w:w="1887" w:type="dxa"/>
            <w:tcBorders>
              <w:top w:val="single" w:sz="4" w:space="0" w:color="auto"/>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168 725 271</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174 947 064</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3,69</w:t>
            </w:r>
          </w:p>
        </w:tc>
      </w:tr>
      <w:tr w:rsidR="009D00E3" w:rsidRPr="009D00E3" w:rsidTr="00B521E1">
        <w:trPr>
          <w:trHeight w:val="37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Trnavský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264 989 335</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266 149 269</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0,44</w:t>
            </w:r>
          </w:p>
        </w:tc>
      </w:tr>
      <w:tr w:rsidR="009D00E3" w:rsidRPr="009D00E3" w:rsidTr="00B521E1">
        <w:trPr>
          <w:trHeight w:val="276"/>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Trenčiansky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272 952 417</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251 890 255</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-7,72</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Nitriansky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288 019 338</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305 702 252</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6,14</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Žilinský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321 002 810</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330 233 022</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2,88</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Banskobystrický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278 390 838</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276 587 026</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-0,65</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Prešovský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382 780 877</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402 830 438</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5,24</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Košický kraj</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250 474 907</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267 424 835</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6,77</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Bratislava hlavné mesto</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185 364 072</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149 919 703</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-19,12</w:t>
            </w:r>
          </w:p>
        </w:tc>
      </w:tr>
      <w:tr w:rsidR="009D00E3" w:rsidRPr="009D00E3" w:rsidTr="00B521E1">
        <w:trPr>
          <w:trHeight w:val="300"/>
        </w:trPr>
        <w:tc>
          <w:tcPr>
            <w:tcW w:w="3080"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color w:val="000000"/>
                <w:sz w:val="20"/>
                <w:szCs w:val="20"/>
              </w:rPr>
            </w:pPr>
            <w:r w:rsidRPr="009D00E3">
              <w:rPr>
                <w:color w:val="000000"/>
                <w:sz w:val="20"/>
                <w:szCs w:val="20"/>
              </w:rPr>
              <w:t>Mesto Košice</w:t>
            </w:r>
          </w:p>
        </w:tc>
        <w:tc>
          <w:tcPr>
            <w:tcW w:w="1887"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103 561 374</w:t>
            </w:r>
          </w:p>
        </w:tc>
        <w:tc>
          <w:tcPr>
            <w:tcW w:w="2268" w:type="dxa"/>
            <w:tcBorders>
              <w:top w:val="nil"/>
              <w:left w:val="nil"/>
              <w:bottom w:val="single" w:sz="4" w:space="0" w:color="auto"/>
              <w:right w:val="single" w:sz="4" w:space="0" w:color="auto"/>
            </w:tcBorders>
            <w:shd w:val="clear" w:color="000000" w:fill="FFFFFF"/>
            <w:vAlign w:val="bottom"/>
            <w:hideMark/>
          </w:tcPr>
          <w:p w:rsidR="009D00E3" w:rsidRPr="009D00E3" w:rsidRDefault="009D00E3" w:rsidP="00B521E1">
            <w:pPr>
              <w:jc w:val="right"/>
              <w:rPr>
                <w:color w:val="000000"/>
                <w:sz w:val="20"/>
                <w:szCs w:val="20"/>
              </w:rPr>
            </w:pPr>
            <w:r w:rsidRPr="009D00E3">
              <w:rPr>
                <w:color w:val="000000"/>
                <w:sz w:val="20"/>
                <w:szCs w:val="20"/>
              </w:rPr>
              <w:t>107 507 929</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color w:val="000000"/>
                <w:sz w:val="20"/>
                <w:szCs w:val="20"/>
              </w:rPr>
            </w:pPr>
            <w:r w:rsidRPr="009D00E3">
              <w:rPr>
                <w:color w:val="000000"/>
                <w:sz w:val="20"/>
                <w:szCs w:val="20"/>
              </w:rPr>
              <w:t>3,81</w:t>
            </w:r>
          </w:p>
        </w:tc>
      </w:tr>
    </w:tbl>
    <w:p w:rsidR="009D00E3" w:rsidRPr="009D00E3" w:rsidRDefault="009D00E3" w:rsidP="009D00E3">
      <w:pPr>
        <w:spacing w:line="360" w:lineRule="auto"/>
      </w:pPr>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s.r.o.</w:t>
      </w: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p>
    <w:p w:rsidR="009D00E3" w:rsidRPr="009D00E3" w:rsidRDefault="009D00E3" w:rsidP="009D00E3">
      <w:pPr>
        <w:spacing w:line="360" w:lineRule="auto"/>
        <w:jc w:val="both"/>
        <w:rPr>
          <w:b/>
          <w:i/>
          <w:u w:val="single"/>
        </w:rPr>
      </w:pPr>
      <w:r w:rsidRPr="009D00E3">
        <w:rPr>
          <w:b/>
          <w:i/>
          <w:u w:val="single"/>
        </w:rPr>
        <w:t xml:space="preserve">Údaje za </w:t>
      </w:r>
      <w:proofErr w:type="spellStart"/>
      <w:r w:rsidRPr="009D00E3">
        <w:rPr>
          <w:b/>
          <w:i/>
          <w:u w:val="single"/>
        </w:rPr>
        <w:t>municipality</w:t>
      </w:r>
      <w:proofErr w:type="spellEnd"/>
      <w:r w:rsidRPr="009D00E3">
        <w:rPr>
          <w:b/>
          <w:i/>
          <w:u w:val="single"/>
        </w:rPr>
        <w:t xml:space="preserve"> v SR celkom – saldo rozpočtu</w:t>
      </w:r>
    </w:p>
    <w:p w:rsidR="009D00E3" w:rsidRPr="009D00E3" w:rsidRDefault="009D00E3" w:rsidP="009D00E3">
      <w:pPr>
        <w:spacing w:line="360" w:lineRule="auto"/>
        <w:ind w:firstLine="708"/>
        <w:jc w:val="both"/>
      </w:pPr>
      <w:r w:rsidRPr="009D00E3">
        <w:rPr>
          <w:b/>
        </w:rPr>
        <w:t xml:space="preserve">Vyššie medziročné tempo rastu celkových príjmov </w:t>
      </w:r>
      <w:proofErr w:type="spellStart"/>
      <w:r w:rsidRPr="009D00E3">
        <w:rPr>
          <w:b/>
        </w:rPr>
        <w:t>municipalít</w:t>
      </w:r>
      <w:proofErr w:type="spellEnd"/>
      <w:r w:rsidRPr="009D00E3">
        <w:rPr>
          <w:b/>
        </w:rPr>
        <w:t xml:space="preserve"> v SR za trištvrte rok 2011 oproti trištvrte roku 2010 (o 2,71 %) v porovnaní s medziročným tempom rastu celkových výdavkov </w:t>
      </w:r>
      <w:proofErr w:type="spellStart"/>
      <w:r w:rsidRPr="009D00E3">
        <w:rPr>
          <w:b/>
        </w:rPr>
        <w:t>municipalít</w:t>
      </w:r>
      <w:proofErr w:type="spellEnd"/>
      <w:r w:rsidRPr="009D00E3">
        <w:rPr>
          <w:b/>
        </w:rPr>
        <w:t xml:space="preserve"> (o 0,67 %) malo o. i. za následok zvýšenie salda rozpočtu </w:t>
      </w:r>
      <w:r w:rsidRPr="009D00E3">
        <w:t>(kladného rozdielu medzi príjmami a výdavkami)</w:t>
      </w:r>
      <w:r w:rsidRPr="009D00E3">
        <w:rPr>
          <w:b/>
        </w:rPr>
        <w:t xml:space="preserve"> </w:t>
      </w:r>
      <w:proofErr w:type="spellStart"/>
      <w:r w:rsidRPr="009D00E3">
        <w:rPr>
          <w:b/>
        </w:rPr>
        <w:t>municipalít</w:t>
      </w:r>
      <w:proofErr w:type="spellEnd"/>
      <w:r w:rsidRPr="009D00E3">
        <w:rPr>
          <w:b/>
        </w:rPr>
        <w:t xml:space="preserve"> o 25,68 % </w:t>
      </w:r>
      <w:r w:rsidRPr="009D00E3">
        <w:t xml:space="preserve">(tabuľka č. 5), čo bolo nad úrovňou jeho zvýšenia v prvom polroku 2011 oproti prvému polroku 2010 (o 22,57 %). </w:t>
      </w:r>
    </w:p>
    <w:p w:rsidR="009D00E3" w:rsidRPr="009D00E3" w:rsidRDefault="009D00E3" w:rsidP="009D00E3">
      <w:pPr>
        <w:tabs>
          <w:tab w:val="left" w:pos="709"/>
        </w:tabs>
        <w:spacing w:line="360" w:lineRule="auto"/>
        <w:jc w:val="both"/>
        <w:rPr>
          <w:b/>
        </w:rPr>
      </w:pPr>
      <w:r w:rsidRPr="009D00E3">
        <w:tab/>
        <w:t xml:space="preserve">Na rozdiel od roku 2010, v priebehu ktorého sme zaznamenávali znižovanie salda rozpočtu </w:t>
      </w:r>
      <w:proofErr w:type="spellStart"/>
      <w:r w:rsidRPr="009D00E3">
        <w:t>municipalít</w:t>
      </w:r>
      <w:proofErr w:type="spellEnd"/>
      <w:r w:rsidRPr="009D00E3">
        <w:t xml:space="preserve"> v porovnaní s vývojom v roku 2009, </w:t>
      </w:r>
      <w:r w:rsidRPr="009D00E3">
        <w:rPr>
          <w:b/>
        </w:rPr>
        <w:t>stav vo všetkých analyzovaných obdobiach roku 2011</w:t>
      </w:r>
      <w:r w:rsidRPr="009D00E3">
        <w:t xml:space="preserve"> (prvý štvrťrok a polrok) </w:t>
      </w:r>
      <w:r w:rsidRPr="009D00E3">
        <w:rPr>
          <w:b/>
        </w:rPr>
        <w:t xml:space="preserve">je pozitívnym odrazom väčších úspor vo </w:t>
      </w:r>
      <w:r w:rsidRPr="009D00E3">
        <w:rPr>
          <w:b/>
        </w:rPr>
        <w:lastRenderedPageBreak/>
        <w:t xml:space="preserve">výdavkoch a vyššej miery prispôsobenia sa vývoju príjmov </w:t>
      </w:r>
      <w:proofErr w:type="spellStart"/>
      <w:r w:rsidRPr="009D00E3">
        <w:rPr>
          <w:b/>
        </w:rPr>
        <w:t>municipalít</w:t>
      </w:r>
      <w:proofErr w:type="spellEnd"/>
      <w:r w:rsidRPr="009D00E3">
        <w:rPr>
          <w:b/>
        </w:rPr>
        <w:t>, najmä v oblasti podielových daní z príjmov fyzických osôb.</w:t>
      </w:r>
    </w:p>
    <w:p w:rsidR="009D00E3" w:rsidRPr="009D00E3" w:rsidRDefault="009D00E3" w:rsidP="009D00E3">
      <w:pPr>
        <w:ind w:left="1701" w:hanging="1701"/>
        <w:jc w:val="both"/>
      </w:pPr>
    </w:p>
    <w:p w:rsidR="009D00E3" w:rsidRPr="009D00E3" w:rsidRDefault="009D00E3" w:rsidP="009D00E3">
      <w:pPr>
        <w:ind w:left="1701" w:hanging="1701"/>
        <w:jc w:val="both"/>
      </w:pPr>
      <w:r w:rsidRPr="009D00E3">
        <w:t xml:space="preserve">Tabuľka č. 5: </w:t>
      </w:r>
      <w:r w:rsidRPr="009D00E3">
        <w:tab/>
        <w:t xml:space="preserve">Vývoj salda rozpočtu </w:t>
      </w:r>
      <w:proofErr w:type="spellStart"/>
      <w:r w:rsidRPr="009D00E3">
        <w:t>municipalít</w:t>
      </w:r>
      <w:proofErr w:type="spellEnd"/>
      <w:r w:rsidRPr="009D00E3">
        <w:t xml:space="preserve"> podľa krajov a za </w:t>
      </w:r>
      <w:proofErr w:type="spellStart"/>
      <w:r w:rsidRPr="009D00E3">
        <w:t>municipality</w:t>
      </w:r>
      <w:proofErr w:type="spellEnd"/>
      <w:r w:rsidRPr="009D00E3">
        <w:t xml:space="preserve"> v SR celkom</w:t>
      </w:r>
    </w:p>
    <w:tbl>
      <w:tblPr>
        <w:tblW w:w="8936" w:type="dxa"/>
        <w:tblInd w:w="65" w:type="dxa"/>
        <w:tblCellMar>
          <w:left w:w="70" w:type="dxa"/>
          <w:right w:w="70" w:type="dxa"/>
        </w:tblCellMar>
        <w:tblLook w:val="04A0"/>
      </w:tblPr>
      <w:tblGrid>
        <w:gridCol w:w="3124"/>
        <w:gridCol w:w="1843"/>
        <w:gridCol w:w="1842"/>
        <w:gridCol w:w="2127"/>
      </w:tblGrid>
      <w:tr w:rsidR="009D00E3" w:rsidRPr="009D00E3" w:rsidTr="00B521E1">
        <w:trPr>
          <w:trHeight w:val="300"/>
        </w:trPr>
        <w:tc>
          <w:tcPr>
            <w:tcW w:w="3124" w:type="dxa"/>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9D00E3" w:rsidRPr="009D00E3" w:rsidRDefault="009D00E3" w:rsidP="00B521E1">
            <w:pPr>
              <w:jc w:val="center"/>
              <w:rPr>
                <w:rFonts w:ascii="Calibri" w:hAnsi="Calibri"/>
                <w:b/>
                <w:bCs/>
                <w:color w:val="000000"/>
              </w:rPr>
            </w:pPr>
            <w:r w:rsidRPr="009D00E3">
              <w:rPr>
                <w:b/>
                <w:bCs/>
                <w:color w:val="000000"/>
                <w:sz w:val="20"/>
                <w:szCs w:val="20"/>
              </w:rPr>
              <w:t xml:space="preserve">Saldo rozpočtu </w:t>
            </w:r>
            <w:proofErr w:type="spellStart"/>
            <w:r w:rsidRPr="009D00E3">
              <w:rPr>
                <w:b/>
                <w:bCs/>
                <w:color w:val="000000"/>
                <w:sz w:val="20"/>
                <w:szCs w:val="20"/>
              </w:rPr>
              <w:t>municipalít</w:t>
            </w:r>
            <w:proofErr w:type="spellEnd"/>
            <w:r w:rsidRPr="009D00E3">
              <w:rPr>
                <w:b/>
                <w:bCs/>
                <w:color w:val="000000"/>
                <w:sz w:val="20"/>
                <w:szCs w:val="20"/>
              </w:rPr>
              <w:t xml:space="preserve"> podľa krajov a v SR celkom</w:t>
            </w:r>
          </w:p>
        </w:tc>
        <w:tc>
          <w:tcPr>
            <w:tcW w:w="1843" w:type="dxa"/>
            <w:tcBorders>
              <w:top w:val="single" w:sz="4" w:space="0" w:color="auto"/>
              <w:left w:val="nil"/>
              <w:bottom w:val="single" w:sz="4" w:space="0" w:color="auto"/>
              <w:right w:val="single" w:sz="4" w:space="0" w:color="auto"/>
            </w:tcBorders>
            <w:shd w:val="clear" w:color="auto" w:fill="FFFF00"/>
            <w:noWrap/>
            <w:vAlign w:val="bottom"/>
            <w:hideMark/>
          </w:tcPr>
          <w:p w:rsidR="009D00E3" w:rsidRPr="009D00E3" w:rsidRDefault="009D00E3" w:rsidP="00B521E1">
            <w:pPr>
              <w:jc w:val="center"/>
              <w:rPr>
                <w:rFonts w:ascii="Calibri" w:hAnsi="Calibri"/>
                <w:b/>
                <w:bCs/>
                <w:color w:val="000000"/>
              </w:rPr>
            </w:pPr>
            <w:r w:rsidRPr="009D00E3">
              <w:rPr>
                <w:b/>
                <w:bCs/>
                <w:color w:val="000000"/>
                <w:sz w:val="20"/>
                <w:szCs w:val="20"/>
              </w:rPr>
              <w:t>trištvrte rok  2010</w:t>
            </w:r>
          </w:p>
        </w:tc>
        <w:tc>
          <w:tcPr>
            <w:tcW w:w="1842" w:type="dxa"/>
            <w:tcBorders>
              <w:top w:val="single" w:sz="4" w:space="0" w:color="auto"/>
              <w:left w:val="nil"/>
              <w:bottom w:val="single" w:sz="4" w:space="0" w:color="auto"/>
              <w:right w:val="single" w:sz="4" w:space="0" w:color="auto"/>
            </w:tcBorders>
            <w:shd w:val="clear" w:color="auto" w:fill="FFFF00"/>
            <w:noWrap/>
            <w:vAlign w:val="bottom"/>
            <w:hideMark/>
          </w:tcPr>
          <w:p w:rsidR="009D00E3" w:rsidRPr="009D00E3" w:rsidRDefault="009D00E3" w:rsidP="00B521E1">
            <w:pPr>
              <w:jc w:val="center"/>
              <w:rPr>
                <w:rFonts w:ascii="Calibri" w:hAnsi="Calibri"/>
                <w:b/>
                <w:bCs/>
                <w:color w:val="000000"/>
              </w:rPr>
            </w:pPr>
            <w:r w:rsidRPr="009D00E3">
              <w:rPr>
                <w:b/>
                <w:bCs/>
                <w:color w:val="000000"/>
                <w:sz w:val="20"/>
                <w:szCs w:val="20"/>
              </w:rPr>
              <w:t>trištvrte rok  2011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00"/>
            <w:vAlign w:val="bottom"/>
            <w:hideMark/>
          </w:tcPr>
          <w:p w:rsidR="009D00E3" w:rsidRPr="009D00E3" w:rsidRDefault="009D00E3" w:rsidP="00B521E1">
            <w:pPr>
              <w:jc w:val="center"/>
              <w:rPr>
                <w:b/>
                <w:bCs/>
                <w:color w:val="000000"/>
                <w:sz w:val="20"/>
                <w:szCs w:val="20"/>
              </w:rPr>
            </w:pPr>
            <w:r w:rsidRPr="009D00E3">
              <w:rPr>
                <w:b/>
                <w:bCs/>
                <w:color w:val="000000"/>
                <w:sz w:val="20"/>
                <w:szCs w:val="20"/>
              </w:rPr>
              <w:t>trištvrte rok 2011/ trištvrte rok 2010 v %</w:t>
            </w:r>
          </w:p>
        </w:tc>
      </w:tr>
      <w:tr w:rsidR="009D00E3" w:rsidRPr="009D00E3" w:rsidTr="00B521E1">
        <w:trPr>
          <w:trHeight w:val="450"/>
        </w:trPr>
        <w:tc>
          <w:tcPr>
            <w:tcW w:w="3124"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rFonts w:ascii="Calibri" w:hAnsi="Calibri"/>
                <w:b/>
                <w:bCs/>
                <w:color w:val="000000"/>
              </w:rPr>
            </w:pPr>
          </w:p>
        </w:tc>
        <w:tc>
          <w:tcPr>
            <w:tcW w:w="1843" w:type="dxa"/>
            <w:tcBorders>
              <w:top w:val="nil"/>
              <w:left w:val="nil"/>
              <w:bottom w:val="single" w:sz="4" w:space="0" w:color="auto"/>
              <w:right w:val="single" w:sz="4" w:space="0" w:color="auto"/>
            </w:tcBorders>
            <w:shd w:val="clear" w:color="auto" w:fill="FFFF00"/>
            <w:vAlign w:val="bottom"/>
            <w:hideMark/>
          </w:tcPr>
          <w:p w:rsidR="009D00E3" w:rsidRPr="009D00E3" w:rsidRDefault="009D00E3" w:rsidP="00B521E1">
            <w:pPr>
              <w:jc w:val="center"/>
              <w:rPr>
                <w:rFonts w:ascii="Calibri" w:hAnsi="Calibri"/>
                <w:color w:val="000000"/>
              </w:rPr>
            </w:pPr>
            <w:r w:rsidRPr="009D00E3">
              <w:rPr>
                <w:rFonts w:ascii="Calibri" w:hAnsi="Calibri"/>
                <w:color w:val="000000"/>
              </w:rPr>
              <w:t xml:space="preserve">v € </w:t>
            </w:r>
          </w:p>
        </w:tc>
        <w:tc>
          <w:tcPr>
            <w:tcW w:w="1842" w:type="dxa"/>
            <w:tcBorders>
              <w:top w:val="nil"/>
              <w:left w:val="nil"/>
              <w:bottom w:val="single" w:sz="4" w:space="0" w:color="auto"/>
              <w:right w:val="single" w:sz="4" w:space="0" w:color="auto"/>
            </w:tcBorders>
            <w:shd w:val="clear" w:color="auto" w:fill="FFFF00"/>
            <w:vAlign w:val="bottom"/>
            <w:hideMark/>
          </w:tcPr>
          <w:p w:rsidR="009D00E3" w:rsidRPr="009D00E3" w:rsidRDefault="009D00E3" w:rsidP="00B521E1">
            <w:pPr>
              <w:jc w:val="center"/>
              <w:rPr>
                <w:rFonts w:ascii="Calibri" w:hAnsi="Calibri"/>
                <w:color w:val="000000"/>
              </w:rPr>
            </w:pPr>
            <w:r w:rsidRPr="009D00E3">
              <w:rPr>
                <w:rFonts w:ascii="Calibri" w:hAnsi="Calibri"/>
                <w:color w:val="000000"/>
              </w:rPr>
              <w:t xml:space="preserve">v €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D00E3" w:rsidRPr="009D00E3" w:rsidRDefault="009D00E3" w:rsidP="00B521E1">
            <w:pPr>
              <w:rPr>
                <w:b/>
                <w:bCs/>
                <w:color w:val="000000"/>
                <w:sz w:val="20"/>
                <w:szCs w:val="20"/>
              </w:rPr>
            </w:pPr>
          </w:p>
        </w:tc>
      </w:tr>
      <w:tr w:rsidR="009D00E3" w:rsidRPr="009D00E3" w:rsidTr="00B521E1">
        <w:trPr>
          <w:trHeight w:val="366"/>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Bratislavský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20 061 034</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18 538 391</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-7,59</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Trnavský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19 128 438</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27 350 121</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42,98</w:t>
            </w:r>
          </w:p>
        </w:tc>
      </w:tr>
      <w:tr w:rsidR="009D00E3" w:rsidRPr="009D00E3" w:rsidTr="00B521E1">
        <w:trPr>
          <w:trHeight w:val="39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Trenčiansky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15 723 245</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33 217 226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111,26</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Nitriansky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37 378 199</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33 045 806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-11,59</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Žilinský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27 225 894</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40 913 607</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50,27</w:t>
            </w:r>
          </w:p>
        </w:tc>
      </w:tr>
      <w:tr w:rsidR="009D00E3" w:rsidRPr="009D00E3" w:rsidTr="00B521E1">
        <w:trPr>
          <w:trHeight w:val="362"/>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Banskobystrický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26 675 666</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31 707 186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18,86</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Prešovský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39 107 538</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47 332 236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21,03</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Košický kraj</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38 217 907</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35 737 586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-6,49</w:t>
            </w:r>
          </w:p>
        </w:tc>
      </w:tr>
      <w:tr w:rsidR="009D00E3" w:rsidRPr="009D00E3" w:rsidTr="00B521E1">
        <w:trPr>
          <w:trHeight w:val="362"/>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Bratislava hlavné mesto</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80 865</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6 288 409</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7 676,43</w:t>
            </w:r>
          </w:p>
        </w:tc>
      </w:tr>
      <w:tr w:rsidR="009D00E3" w:rsidRPr="009D00E3" w:rsidTr="00B521E1">
        <w:trPr>
          <w:trHeight w:val="300"/>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9D00E3" w:rsidRPr="009D00E3" w:rsidRDefault="009D00E3" w:rsidP="00B521E1">
            <w:pPr>
              <w:rPr>
                <w:bCs/>
                <w:color w:val="000000"/>
                <w:sz w:val="20"/>
                <w:szCs w:val="20"/>
              </w:rPr>
            </w:pPr>
            <w:r w:rsidRPr="009D00E3">
              <w:rPr>
                <w:bCs/>
                <w:color w:val="000000"/>
                <w:sz w:val="20"/>
                <w:szCs w:val="20"/>
              </w:rPr>
              <w:t>Mesto Košice</w:t>
            </w:r>
          </w:p>
        </w:tc>
        <w:tc>
          <w:tcPr>
            <w:tcW w:w="1843"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-459 749</w:t>
            </w:r>
          </w:p>
        </w:tc>
        <w:tc>
          <w:tcPr>
            <w:tcW w:w="1842" w:type="dxa"/>
            <w:tcBorders>
              <w:top w:val="nil"/>
              <w:left w:val="nil"/>
              <w:bottom w:val="single" w:sz="4" w:space="0" w:color="auto"/>
              <w:right w:val="single" w:sz="4" w:space="0" w:color="auto"/>
            </w:tcBorders>
            <w:shd w:val="clear" w:color="auto" w:fill="auto"/>
            <w:vAlign w:val="bottom"/>
            <w:hideMark/>
          </w:tcPr>
          <w:p w:rsidR="009D00E3" w:rsidRPr="009D00E3" w:rsidRDefault="009D00E3" w:rsidP="00B521E1">
            <w:pPr>
              <w:jc w:val="right"/>
              <w:rPr>
                <w:bCs/>
                <w:color w:val="000000"/>
                <w:sz w:val="20"/>
                <w:szCs w:val="20"/>
              </w:rPr>
            </w:pPr>
            <w:r w:rsidRPr="009D00E3">
              <w:rPr>
                <w:bCs/>
                <w:color w:val="000000"/>
                <w:sz w:val="20"/>
                <w:szCs w:val="20"/>
              </w:rPr>
              <w:t>6 320 936</w:t>
            </w:r>
          </w:p>
        </w:tc>
        <w:tc>
          <w:tcPr>
            <w:tcW w:w="2127" w:type="dxa"/>
            <w:tcBorders>
              <w:top w:val="nil"/>
              <w:left w:val="nil"/>
              <w:bottom w:val="single" w:sz="4" w:space="0" w:color="auto"/>
              <w:right w:val="single" w:sz="4" w:space="0" w:color="auto"/>
            </w:tcBorders>
            <w:shd w:val="clear" w:color="auto" w:fill="auto"/>
            <w:noWrap/>
            <w:vAlign w:val="bottom"/>
            <w:hideMark/>
          </w:tcPr>
          <w:p w:rsidR="009D00E3" w:rsidRPr="009D00E3" w:rsidRDefault="009D00E3" w:rsidP="00B521E1">
            <w:pPr>
              <w:jc w:val="right"/>
              <w:rPr>
                <w:bCs/>
                <w:color w:val="000000"/>
                <w:sz w:val="20"/>
                <w:szCs w:val="20"/>
              </w:rPr>
            </w:pPr>
            <w:r w:rsidRPr="009D00E3">
              <w:rPr>
                <w:bCs/>
                <w:color w:val="000000"/>
                <w:sz w:val="20"/>
                <w:szCs w:val="20"/>
              </w:rPr>
              <w:t>-*</w:t>
            </w:r>
          </w:p>
        </w:tc>
      </w:tr>
      <w:tr w:rsidR="009D00E3" w:rsidRPr="009D00E3" w:rsidTr="00B521E1">
        <w:trPr>
          <w:trHeight w:val="244"/>
        </w:trPr>
        <w:tc>
          <w:tcPr>
            <w:tcW w:w="3124"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9D00E3" w:rsidRPr="009D00E3" w:rsidRDefault="009D00E3" w:rsidP="00B521E1">
            <w:pPr>
              <w:rPr>
                <w:b/>
                <w:bCs/>
                <w:color w:val="000000"/>
                <w:sz w:val="20"/>
                <w:szCs w:val="20"/>
              </w:rPr>
            </w:pPr>
            <w:r w:rsidRPr="009D00E3">
              <w:rPr>
                <w:b/>
                <w:bCs/>
                <w:color w:val="000000"/>
                <w:sz w:val="20"/>
                <w:szCs w:val="20"/>
              </w:rPr>
              <w:t xml:space="preserve">saldo rozpočtu </w:t>
            </w:r>
            <w:proofErr w:type="spellStart"/>
            <w:r w:rsidRPr="009D00E3">
              <w:rPr>
                <w:b/>
                <w:bCs/>
                <w:color w:val="000000"/>
                <w:sz w:val="20"/>
                <w:szCs w:val="20"/>
              </w:rPr>
              <w:t>municipalít</w:t>
            </w:r>
            <w:proofErr w:type="spellEnd"/>
            <w:r w:rsidRPr="009D00E3">
              <w:rPr>
                <w:b/>
                <w:bCs/>
                <w:color w:val="000000"/>
                <w:sz w:val="20"/>
                <w:szCs w:val="20"/>
              </w:rPr>
              <w:t xml:space="preserve"> spolu</w:t>
            </w:r>
          </w:p>
        </w:tc>
        <w:tc>
          <w:tcPr>
            <w:tcW w:w="1843" w:type="dxa"/>
            <w:tcBorders>
              <w:top w:val="nil"/>
              <w:left w:val="nil"/>
              <w:bottom w:val="single" w:sz="4" w:space="0" w:color="auto"/>
              <w:right w:val="single" w:sz="4" w:space="0" w:color="auto"/>
            </w:tcBorders>
            <w:shd w:val="clear" w:color="auto" w:fill="BFBFBF" w:themeFill="background1" w:themeFillShade="BF"/>
            <w:vAlign w:val="bottom"/>
            <w:hideMark/>
          </w:tcPr>
          <w:p w:rsidR="009D00E3" w:rsidRPr="009D00E3" w:rsidRDefault="009D00E3" w:rsidP="00B521E1">
            <w:pPr>
              <w:jc w:val="right"/>
              <w:rPr>
                <w:b/>
                <w:bCs/>
                <w:color w:val="000000"/>
                <w:sz w:val="20"/>
                <w:szCs w:val="20"/>
              </w:rPr>
            </w:pPr>
            <w:r w:rsidRPr="009D00E3">
              <w:rPr>
                <w:b/>
                <w:bCs/>
                <w:color w:val="000000"/>
                <w:sz w:val="20"/>
                <w:szCs w:val="20"/>
              </w:rPr>
              <w:t>223 139 037</w:t>
            </w:r>
          </w:p>
        </w:tc>
        <w:tc>
          <w:tcPr>
            <w:tcW w:w="1842" w:type="dxa"/>
            <w:tcBorders>
              <w:top w:val="nil"/>
              <w:left w:val="nil"/>
              <w:bottom w:val="single" w:sz="4" w:space="0" w:color="auto"/>
              <w:right w:val="single" w:sz="4" w:space="0" w:color="auto"/>
            </w:tcBorders>
            <w:shd w:val="clear" w:color="auto" w:fill="BFBFBF" w:themeFill="background1" w:themeFillShade="BF"/>
            <w:vAlign w:val="bottom"/>
            <w:hideMark/>
          </w:tcPr>
          <w:p w:rsidR="009D00E3" w:rsidRPr="009D00E3" w:rsidRDefault="009D00E3" w:rsidP="00B521E1">
            <w:pPr>
              <w:jc w:val="right"/>
              <w:rPr>
                <w:b/>
                <w:bCs/>
                <w:color w:val="000000"/>
                <w:sz w:val="20"/>
                <w:szCs w:val="20"/>
              </w:rPr>
            </w:pPr>
            <w:r w:rsidRPr="009D00E3">
              <w:rPr>
                <w:b/>
                <w:bCs/>
                <w:color w:val="000000"/>
                <w:sz w:val="20"/>
                <w:szCs w:val="20"/>
              </w:rPr>
              <w:t>280 451 504</w:t>
            </w:r>
          </w:p>
        </w:tc>
        <w:tc>
          <w:tcPr>
            <w:tcW w:w="2127" w:type="dxa"/>
            <w:tcBorders>
              <w:top w:val="nil"/>
              <w:left w:val="nil"/>
              <w:bottom w:val="single" w:sz="4" w:space="0" w:color="auto"/>
              <w:right w:val="single" w:sz="4" w:space="0" w:color="auto"/>
            </w:tcBorders>
            <w:shd w:val="clear" w:color="auto" w:fill="BFBFBF" w:themeFill="background1" w:themeFillShade="BF"/>
            <w:noWrap/>
            <w:vAlign w:val="bottom"/>
            <w:hideMark/>
          </w:tcPr>
          <w:p w:rsidR="009D00E3" w:rsidRPr="009D00E3" w:rsidRDefault="009D00E3" w:rsidP="00B521E1">
            <w:pPr>
              <w:jc w:val="right"/>
              <w:rPr>
                <w:b/>
                <w:bCs/>
                <w:color w:val="000000"/>
                <w:sz w:val="20"/>
                <w:szCs w:val="20"/>
              </w:rPr>
            </w:pPr>
            <w:r w:rsidRPr="009D00E3">
              <w:rPr>
                <w:b/>
                <w:bCs/>
                <w:color w:val="000000"/>
                <w:sz w:val="20"/>
                <w:szCs w:val="20"/>
              </w:rPr>
              <w:t>25,68</w:t>
            </w:r>
          </w:p>
        </w:tc>
      </w:tr>
    </w:tbl>
    <w:p w:rsidR="009D00E3" w:rsidRPr="009D00E3" w:rsidRDefault="009D00E3" w:rsidP="009D00E3">
      <w:pPr>
        <w:rPr>
          <w:sz w:val="20"/>
          <w:szCs w:val="20"/>
        </w:rPr>
      </w:pPr>
      <w:r w:rsidRPr="009D00E3">
        <w:rPr>
          <w:sz w:val="20"/>
          <w:szCs w:val="20"/>
        </w:rPr>
        <w:t>*medziročná zmena nie je vyčíslená z dôvodu záporného salda za trištvrte rok 2010</w:t>
      </w:r>
    </w:p>
    <w:p w:rsidR="009D00E3" w:rsidRPr="009D00E3" w:rsidRDefault="009D00E3" w:rsidP="009D00E3">
      <w:r w:rsidRPr="009D00E3">
        <w:t xml:space="preserve">Zdroj: SCB  - Slovak </w:t>
      </w:r>
      <w:proofErr w:type="spellStart"/>
      <w:r w:rsidRPr="009D00E3">
        <w:t>Credit</w:t>
      </w:r>
      <w:proofErr w:type="spellEnd"/>
      <w:r w:rsidRPr="009D00E3">
        <w:t xml:space="preserve"> </w:t>
      </w:r>
      <w:proofErr w:type="spellStart"/>
      <w:r w:rsidRPr="009D00E3">
        <w:t>Bureau</w:t>
      </w:r>
      <w:proofErr w:type="spellEnd"/>
      <w:r w:rsidRPr="009D00E3">
        <w:t>, s.r.o.</w:t>
      </w:r>
    </w:p>
    <w:p w:rsidR="009D00E3" w:rsidRPr="009D00E3" w:rsidRDefault="009D00E3" w:rsidP="009D00E3">
      <w:pPr>
        <w:spacing w:line="360" w:lineRule="auto"/>
        <w:ind w:firstLine="708"/>
        <w:jc w:val="both"/>
      </w:pPr>
    </w:p>
    <w:p w:rsidR="009D00E3" w:rsidRPr="009D00E3" w:rsidRDefault="009D00E3" w:rsidP="009D00E3">
      <w:pPr>
        <w:spacing w:line="360" w:lineRule="auto"/>
        <w:ind w:firstLine="708"/>
        <w:jc w:val="both"/>
      </w:pPr>
      <w:r w:rsidRPr="009D00E3">
        <w:rPr>
          <w:b/>
        </w:rPr>
        <w:t xml:space="preserve">V troch krajoch sme na rozdiel od celkovej tendencie k nárastu salda rozpočtu zaznamenali ich pokles – v Nitrianskom kraji (o 11,59 %), v Bratislavskom kraji (o </w:t>
      </w:r>
      <w:r w:rsidRPr="009D00E3">
        <w:rPr>
          <w:b/>
        </w:rPr>
        <w:br/>
        <w:t>7,59 %) a v Košickom kraji (o 6,49 %).</w:t>
      </w:r>
      <w:r w:rsidRPr="009D00E3">
        <w:t xml:space="preserve"> V ostatných krajoch sa saldo rozpočtu medziročne zvýšilo v závislosti od medziročnej zmeny celkových príjmov a celkových výdavkov. </w:t>
      </w:r>
      <w:r w:rsidRPr="009D00E3">
        <w:rPr>
          <w:b/>
        </w:rPr>
        <w:t>Mesto Košice, ktoré ako jediný kraj dosiahlo za trištvrte rok 2010 záporné saldo rozpočtu, malo za trištvrte rok 2011 už kladné, aj keď hodnotovo relatívne nízke saldo rozpočtu. Saldo rozpočtu Mesta Košice bolo takmer vo výške salda v Bratislave hlavnom meste, v ktorom sme zaznamenali za trištvrte rok 2011 v porovnaní s rovnakým obdobím roku 2010 jeho najväčší medziročný nárast - o 7 676,43 %.</w:t>
      </w:r>
    </w:p>
    <w:p w:rsidR="009D00E3" w:rsidRPr="009D00E3" w:rsidRDefault="009D00E3" w:rsidP="009D00E3">
      <w:pPr>
        <w:spacing w:line="360" w:lineRule="auto"/>
        <w:ind w:firstLine="708"/>
        <w:jc w:val="both"/>
        <w:rPr>
          <w:b/>
        </w:rPr>
      </w:pPr>
      <w:r w:rsidRPr="009D00E3">
        <w:t>Okrem Bratislavy hlavného mesta mali vysoký medziročný nárast salda rozpočtu aj Žilinský kraj (o 50,27 %) a Trnavský kraj (o 42,98 %). Naopak, najmenší nárast salda rozpočtu bol v Banskobystrickom kraji (o 18,86 %).</w:t>
      </w:r>
    </w:p>
    <w:p w:rsidR="003410E1" w:rsidRPr="009D00E3" w:rsidRDefault="0051768B" w:rsidP="003410E1">
      <w:pPr>
        <w:spacing w:line="288" w:lineRule="auto"/>
        <w:jc w:val="both"/>
        <w:rPr>
          <w:rStyle w:val="apple-style-span"/>
          <w:rFonts w:ascii="Arial" w:hAnsi="Arial" w:cs="Arial"/>
          <w:i/>
          <w:sz w:val="20"/>
          <w:szCs w:val="20"/>
          <w:shd w:val="clear" w:color="auto" w:fill="FFFFFF"/>
        </w:rPr>
      </w:pPr>
      <w:r w:rsidRPr="009D00E3">
        <w:rPr>
          <w:rFonts w:ascii="Arial" w:hAnsi="Arial" w:cs="Arial"/>
          <w:sz w:val="22"/>
          <w:szCs w:val="22"/>
        </w:rPr>
        <w:br/>
      </w:r>
      <w:r w:rsidRPr="009D00E3">
        <w:rPr>
          <w:rFonts w:ascii="Arial" w:hAnsi="Arial" w:cs="Arial"/>
          <w:sz w:val="22"/>
          <w:szCs w:val="22"/>
        </w:rPr>
        <w:br/>
      </w:r>
      <w:r w:rsidRPr="009D00E3">
        <w:rPr>
          <w:rFonts w:ascii="Arial" w:hAnsi="Arial" w:cs="Arial"/>
          <w:sz w:val="22"/>
          <w:szCs w:val="22"/>
        </w:rPr>
        <w:br/>
      </w:r>
    </w:p>
    <w:p w:rsidR="009D00E3" w:rsidRPr="009D00E3" w:rsidRDefault="009D00E3" w:rsidP="003410E1">
      <w:pPr>
        <w:spacing w:line="288" w:lineRule="auto"/>
        <w:jc w:val="both"/>
        <w:rPr>
          <w:rStyle w:val="apple-style-span"/>
          <w:rFonts w:ascii="Arial" w:hAnsi="Arial" w:cs="Arial"/>
          <w:i/>
          <w:sz w:val="20"/>
          <w:szCs w:val="20"/>
          <w:shd w:val="clear" w:color="auto" w:fill="FFFFFF"/>
        </w:rPr>
      </w:pPr>
    </w:p>
    <w:p w:rsidR="00DC5E91" w:rsidRPr="009D00E3" w:rsidRDefault="00DC5E91" w:rsidP="00DC5E91">
      <w:pPr>
        <w:spacing w:line="360" w:lineRule="auto"/>
        <w:jc w:val="both"/>
        <w:rPr>
          <w:b/>
          <w:i/>
        </w:rPr>
      </w:pPr>
    </w:p>
    <w:p w:rsidR="003410E1" w:rsidRPr="009D00E3" w:rsidRDefault="009D00E3" w:rsidP="0051768B">
      <w:pPr>
        <w:spacing w:line="360" w:lineRule="auto"/>
        <w:jc w:val="both"/>
        <w:outlineLvl w:val="0"/>
        <w:rPr>
          <w:b/>
          <w:sz w:val="22"/>
          <w:szCs w:val="22"/>
          <w:u w:val="single"/>
        </w:rPr>
      </w:pPr>
      <w:r w:rsidRPr="009D00E3">
        <w:rPr>
          <w:b/>
          <w:sz w:val="22"/>
          <w:szCs w:val="22"/>
          <w:u w:val="single"/>
        </w:rPr>
        <w:lastRenderedPageBreak/>
        <w:t>O</w:t>
      </w:r>
      <w:r w:rsidR="003410E1" w:rsidRPr="009D00E3">
        <w:rPr>
          <w:b/>
          <w:sz w:val="22"/>
          <w:szCs w:val="22"/>
          <w:u w:val="single"/>
        </w:rPr>
        <w:t xml:space="preserve"> spoločnosti</w:t>
      </w:r>
      <w:r w:rsidRPr="009D00E3">
        <w:rPr>
          <w:b/>
          <w:sz w:val="22"/>
          <w:szCs w:val="22"/>
          <w:u w:val="single"/>
        </w:rPr>
        <w:t xml:space="preserve"> SCB – Slovak </w:t>
      </w:r>
      <w:proofErr w:type="spellStart"/>
      <w:r w:rsidRPr="009D00E3">
        <w:rPr>
          <w:b/>
          <w:sz w:val="22"/>
          <w:szCs w:val="22"/>
          <w:u w:val="single"/>
        </w:rPr>
        <w:t>Credit</w:t>
      </w:r>
      <w:proofErr w:type="spellEnd"/>
      <w:r w:rsidRPr="009D00E3">
        <w:rPr>
          <w:b/>
          <w:sz w:val="22"/>
          <w:szCs w:val="22"/>
          <w:u w:val="single"/>
        </w:rPr>
        <w:t xml:space="preserve"> </w:t>
      </w:r>
      <w:proofErr w:type="spellStart"/>
      <w:r w:rsidRPr="009D00E3">
        <w:rPr>
          <w:b/>
          <w:sz w:val="22"/>
          <w:szCs w:val="22"/>
          <w:u w:val="single"/>
        </w:rPr>
        <w:t>Bureau</w:t>
      </w:r>
      <w:proofErr w:type="spellEnd"/>
      <w:r w:rsidR="00DC5E91" w:rsidRPr="009D00E3">
        <w:rPr>
          <w:b/>
          <w:sz w:val="22"/>
          <w:szCs w:val="22"/>
          <w:u w:val="single"/>
        </w:rPr>
        <w:t>:</w:t>
      </w:r>
    </w:p>
    <w:p w:rsidR="003410E1" w:rsidRPr="009D00E3" w:rsidRDefault="003410E1" w:rsidP="00DC5E91">
      <w:pPr>
        <w:jc w:val="both"/>
        <w:rPr>
          <w:sz w:val="22"/>
          <w:szCs w:val="22"/>
        </w:rPr>
      </w:pPr>
    </w:p>
    <w:p w:rsidR="009D00E3" w:rsidRPr="009D00E3" w:rsidRDefault="00DC5E91" w:rsidP="00DC5E91">
      <w:pPr>
        <w:jc w:val="both"/>
        <w:rPr>
          <w:sz w:val="22"/>
          <w:szCs w:val="22"/>
        </w:rPr>
      </w:pPr>
      <w:r w:rsidRPr="009D00E3">
        <w:rPr>
          <w:b/>
          <w:sz w:val="22"/>
          <w:szCs w:val="22"/>
        </w:rPr>
        <w:t xml:space="preserve">Spoločnosť  SCB - Slovak </w:t>
      </w:r>
      <w:proofErr w:type="spellStart"/>
      <w:r w:rsidRPr="009D00E3">
        <w:rPr>
          <w:b/>
          <w:sz w:val="22"/>
          <w:szCs w:val="22"/>
        </w:rPr>
        <w:t>Credit</w:t>
      </w:r>
      <w:proofErr w:type="spellEnd"/>
      <w:r w:rsidRPr="009D00E3">
        <w:rPr>
          <w:b/>
          <w:sz w:val="22"/>
          <w:szCs w:val="22"/>
        </w:rPr>
        <w:t xml:space="preserve"> </w:t>
      </w:r>
      <w:proofErr w:type="spellStart"/>
      <w:r w:rsidRPr="009D00E3">
        <w:rPr>
          <w:b/>
          <w:sz w:val="22"/>
          <w:szCs w:val="22"/>
        </w:rPr>
        <w:t>Bureau</w:t>
      </w:r>
      <w:proofErr w:type="spellEnd"/>
      <w:r w:rsidRPr="009D00E3">
        <w:rPr>
          <w:sz w:val="22"/>
          <w:szCs w:val="22"/>
        </w:rPr>
        <w:t xml:space="preserve"> zabezpečuje na Slovensku prevádzku dvoch slovenských úverových registrov, bankového a nebankového, prostredníctvom ktorých si banky a stavebné sporiteľne, resp. leasingové a splátkové spoločnosti overujú bonitu a schopnosť svojich klientov splácať budúce záväzky. Obom registrom SCB - Slovak </w:t>
      </w:r>
      <w:proofErr w:type="spellStart"/>
      <w:r w:rsidRPr="009D00E3">
        <w:rPr>
          <w:sz w:val="22"/>
          <w:szCs w:val="22"/>
        </w:rPr>
        <w:t>Credit</w:t>
      </w:r>
      <w:proofErr w:type="spellEnd"/>
      <w:r w:rsidRPr="009D00E3">
        <w:rPr>
          <w:sz w:val="22"/>
          <w:szCs w:val="22"/>
        </w:rPr>
        <w:t xml:space="preserve"> </w:t>
      </w:r>
      <w:proofErr w:type="spellStart"/>
      <w:r w:rsidRPr="009D00E3">
        <w:rPr>
          <w:sz w:val="22"/>
          <w:szCs w:val="22"/>
        </w:rPr>
        <w:t>Bureau</w:t>
      </w:r>
      <w:proofErr w:type="spellEnd"/>
      <w:r w:rsidRPr="009D00E3">
        <w:rPr>
          <w:sz w:val="22"/>
          <w:szCs w:val="22"/>
        </w:rPr>
        <w:t xml:space="preserve"> zabezpečuje aj technický servis a služby klientskych centier. </w:t>
      </w:r>
    </w:p>
    <w:p w:rsidR="009D00E3" w:rsidRPr="009D00E3" w:rsidRDefault="009D00E3" w:rsidP="00DC5E91">
      <w:pPr>
        <w:jc w:val="both"/>
        <w:rPr>
          <w:sz w:val="22"/>
          <w:szCs w:val="22"/>
        </w:rPr>
      </w:pPr>
    </w:p>
    <w:p w:rsidR="00DC5E91" w:rsidRPr="009D00E3" w:rsidRDefault="00DC5E91" w:rsidP="00DC5E91">
      <w:pPr>
        <w:jc w:val="both"/>
        <w:rPr>
          <w:sz w:val="22"/>
          <w:szCs w:val="22"/>
        </w:rPr>
      </w:pPr>
      <w:r w:rsidRPr="009D00E3">
        <w:rPr>
          <w:sz w:val="22"/>
          <w:szCs w:val="22"/>
        </w:rPr>
        <w:t xml:space="preserve">Spoločnosť SCB - Slovak </w:t>
      </w:r>
      <w:proofErr w:type="spellStart"/>
      <w:r w:rsidRPr="009D00E3">
        <w:rPr>
          <w:sz w:val="22"/>
          <w:szCs w:val="22"/>
        </w:rPr>
        <w:t>Credit</w:t>
      </w:r>
      <w:proofErr w:type="spellEnd"/>
      <w:r w:rsidRPr="009D00E3">
        <w:rPr>
          <w:sz w:val="22"/>
          <w:szCs w:val="22"/>
        </w:rPr>
        <w:t xml:space="preserve"> </w:t>
      </w:r>
      <w:proofErr w:type="spellStart"/>
      <w:r w:rsidRPr="009D00E3">
        <w:rPr>
          <w:sz w:val="22"/>
          <w:szCs w:val="22"/>
        </w:rPr>
        <w:t>Bureau</w:t>
      </w:r>
      <w:proofErr w:type="spellEnd"/>
      <w:r w:rsidRPr="009D00E3">
        <w:rPr>
          <w:sz w:val="22"/>
          <w:szCs w:val="22"/>
        </w:rPr>
        <w:t xml:space="preserve"> je prevádzkovateľom významného informačného portálu Univerzálny register Plus obsahujúceho komplexné informácie o všetkých subjektoch na Slovensku, vrátane informácií o ich platobnej disciplíne. </w:t>
      </w:r>
    </w:p>
    <w:p w:rsidR="003410E1" w:rsidRPr="009D00E3" w:rsidRDefault="003410E1" w:rsidP="00DC5E91">
      <w:pPr>
        <w:jc w:val="both"/>
        <w:rPr>
          <w:sz w:val="22"/>
          <w:szCs w:val="22"/>
        </w:rPr>
      </w:pPr>
    </w:p>
    <w:p w:rsidR="00DC5E91" w:rsidRPr="009D00E3" w:rsidRDefault="00DC5E91" w:rsidP="00DC5E91">
      <w:pPr>
        <w:jc w:val="both"/>
        <w:rPr>
          <w:sz w:val="22"/>
          <w:szCs w:val="22"/>
        </w:rPr>
      </w:pPr>
      <w:r w:rsidRPr="009D00E3">
        <w:rPr>
          <w:sz w:val="22"/>
          <w:szCs w:val="22"/>
        </w:rPr>
        <w:t xml:space="preserve">Spoločnosť SCB - Slovak </w:t>
      </w:r>
      <w:proofErr w:type="spellStart"/>
      <w:r w:rsidRPr="009D00E3">
        <w:rPr>
          <w:sz w:val="22"/>
          <w:szCs w:val="22"/>
        </w:rPr>
        <w:t>Credit</w:t>
      </w:r>
      <w:proofErr w:type="spellEnd"/>
      <w:r w:rsidRPr="009D00E3">
        <w:rPr>
          <w:sz w:val="22"/>
          <w:szCs w:val="22"/>
        </w:rPr>
        <w:t xml:space="preserve"> </w:t>
      </w:r>
      <w:proofErr w:type="spellStart"/>
      <w:r w:rsidRPr="009D00E3">
        <w:rPr>
          <w:sz w:val="22"/>
          <w:szCs w:val="22"/>
        </w:rPr>
        <w:t>Bureau</w:t>
      </w:r>
      <w:proofErr w:type="spellEnd"/>
      <w:r w:rsidRPr="009D00E3">
        <w:rPr>
          <w:sz w:val="22"/>
          <w:szCs w:val="22"/>
        </w:rPr>
        <w:t xml:space="preserve"> bola založená v máji 2004 a jediným akcionárom je medzinárodná skupina CRIF, štvrtý najväčší prevádzkovateľ úverových registrov a systémov pre podporu úverového rozhodovania na svete. </w:t>
      </w:r>
      <w:r w:rsidR="003410E1" w:rsidRPr="009D00E3">
        <w:rPr>
          <w:sz w:val="22"/>
          <w:szCs w:val="22"/>
        </w:rPr>
        <w:t xml:space="preserve">Na českom trhu pôsobí prostredníctvom svojej sesterskej spoločnosti CCB - </w:t>
      </w:r>
      <w:proofErr w:type="spellStart"/>
      <w:r w:rsidR="003410E1" w:rsidRPr="009D00E3">
        <w:rPr>
          <w:sz w:val="22"/>
          <w:szCs w:val="22"/>
        </w:rPr>
        <w:t>Czech</w:t>
      </w:r>
      <w:proofErr w:type="spellEnd"/>
      <w:r w:rsidR="003410E1" w:rsidRPr="009D00E3">
        <w:rPr>
          <w:sz w:val="22"/>
          <w:szCs w:val="22"/>
        </w:rPr>
        <w:t> </w:t>
      </w:r>
      <w:proofErr w:type="spellStart"/>
      <w:r w:rsidR="003410E1" w:rsidRPr="009D00E3">
        <w:rPr>
          <w:sz w:val="22"/>
          <w:szCs w:val="22"/>
        </w:rPr>
        <w:t>Credit</w:t>
      </w:r>
      <w:proofErr w:type="spellEnd"/>
      <w:r w:rsidR="003410E1" w:rsidRPr="009D00E3">
        <w:rPr>
          <w:sz w:val="22"/>
          <w:szCs w:val="22"/>
        </w:rPr>
        <w:t> </w:t>
      </w:r>
      <w:proofErr w:type="spellStart"/>
      <w:r w:rsidR="003410E1" w:rsidRPr="009D00E3">
        <w:rPr>
          <w:sz w:val="22"/>
          <w:szCs w:val="22"/>
        </w:rPr>
        <w:t>Bureau</w:t>
      </w:r>
      <w:proofErr w:type="spellEnd"/>
      <w:r w:rsidR="003410E1" w:rsidRPr="009D00E3">
        <w:rPr>
          <w:sz w:val="22"/>
          <w:szCs w:val="22"/>
        </w:rPr>
        <w:t>, a.s.</w:t>
      </w:r>
    </w:p>
    <w:p w:rsidR="00DC5E91" w:rsidRPr="009D00E3" w:rsidRDefault="00DC5E91" w:rsidP="00DC5E91">
      <w:pPr>
        <w:spacing w:line="360" w:lineRule="auto"/>
        <w:jc w:val="both"/>
        <w:rPr>
          <w:rFonts w:ascii="Arial" w:hAnsi="Arial" w:cs="Arial"/>
          <w:b/>
          <w:sz w:val="20"/>
          <w:szCs w:val="20"/>
        </w:rPr>
      </w:pPr>
    </w:p>
    <w:p w:rsidR="00DC5E91" w:rsidRPr="009D00E3" w:rsidRDefault="00DC5E91" w:rsidP="00DC5E91">
      <w:pPr>
        <w:spacing w:line="360" w:lineRule="auto"/>
        <w:jc w:val="both"/>
        <w:rPr>
          <w:rFonts w:ascii="Arial" w:hAnsi="Arial" w:cs="Arial"/>
          <w:b/>
          <w:sz w:val="20"/>
          <w:szCs w:val="20"/>
        </w:rPr>
      </w:pPr>
    </w:p>
    <w:p w:rsidR="009D00E3" w:rsidRPr="009D00E3" w:rsidRDefault="009D00E3" w:rsidP="009D00E3">
      <w:pPr>
        <w:spacing w:line="360" w:lineRule="auto"/>
        <w:jc w:val="both"/>
        <w:rPr>
          <w:b/>
        </w:rPr>
      </w:pPr>
      <w:r w:rsidRPr="009D00E3">
        <w:rPr>
          <w:b/>
        </w:rPr>
        <w:t>Kontakty pre médiá:</w:t>
      </w:r>
    </w:p>
    <w:p w:rsidR="009D00E3" w:rsidRPr="009D00E3" w:rsidRDefault="009D00E3" w:rsidP="009D00E3">
      <w:pPr>
        <w:spacing w:line="360" w:lineRule="auto"/>
        <w:jc w:val="both"/>
      </w:pPr>
      <w:r w:rsidRPr="009D00E3">
        <w:rPr>
          <w:b/>
        </w:rPr>
        <w:t xml:space="preserve">SCB - Slovak </w:t>
      </w:r>
      <w:proofErr w:type="spellStart"/>
      <w:r w:rsidRPr="009D00E3">
        <w:rPr>
          <w:b/>
        </w:rPr>
        <w:t>Credit</w:t>
      </w:r>
      <w:proofErr w:type="spellEnd"/>
      <w:r w:rsidRPr="009D00E3">
        <w:rPr>
          <w:b/>
        </w:rPr>
        <w:t xml:space="preserve"> </w:t>
      </w:r>
      <w:proofErr w:type="spellStart"/>
      <w:r w:rsidRPr="009D00E3">
        <w:rPr>
          <w:b/>
        </w:rPr>
        <w:t>Bureau</w:t>
      </w:r>
      <w:proofErr w:type="spellEnd"/>
      <w:r w:rsidRPr="009D00E3">
        <w:rPr>
          <w:b/>
        </w:rPr>
        <w:t>, s.r.o.</w:t>
      </w:r>
      <w:r w:rsidRPr="009D00E3">
        <w:tab/>
      </w:r>
      <w:r w:rsidRPr="009D00E3">
        <w:tab/>
      </w:r>
      <w:r w:rsidRPr="009D00E3">
        <w:tab/>
      </w:r>
      <w:r w:rsidRPr="009D00E3">
        <w:rPr>
          <w:b/>
        </w:rPr>
        <w:t>SCB -</w:t>
      </w:r>
      <w:r w:rsidRPr="009D00E3">
        <w:t xml:space="preserve"> </w:t>
      </w:r>
      <w:r w:rsidRPr="009D00E3">
        <w:rPr>
          <w:b/>
        </w:rPr>
        <w:t xml:space="preserve">Slovak </w:t>
      </w:r>
      <w:proofErr w:type="spellStart"/>
      <w:r w:rsidRPr="009D00E3">
        <w:rPr>
          <w:b/>
        </w:rPr>
        <w:t>Credit</w:t>
      </w:r>
      <w:proofErr w:type="spellEnd"/>
      <w:r w:rsidRPr="009D00E3">
        <w:rPr>
          <w:b/>
        </w:rPr>
        <w:t xml:space="preserve"> </w:t>
      </w:r>
      <w:proofErr w:type="spellStart"/>
      <w:r w:rsidRPr="009D00E3">
        <w:rPr>
          <w:b/>
        </w:rPr>
        <w:t>Bureau</w:t>
      </w:r>
      <w:proofErr w:type="spellEnd"/>
      <w:r w:rsidRPr="009D00E3">
        <w:rPr>
          <w:b/>
        </w:rPr>
        <w:t>, s.r.o.</w:t>
      </w:r>
    </w:p>
    <w:p w:rsidR="009D00E3" w:rsidRPr="009D00E3" w:rsidRDefault="009D00E3" w:rsidP="009D00E3">
      <w:pPr>
        <w:spacing w:line="360" w:lineRule="auto"/>
        <w:jc w:val="both"/>
      </w:pPr>
      <w:r w:rsidRPr="009D00E3">
        <w:t>Ján Budinský – konateľ</w:t>
      </w:r>
      <w:r w:rsidRPr="009D00E3">
        <w:tab/>
      </w:r>
      <w:r w:rsidRPr="009D00E3">
        <w:tab/>
      </w:r>
      <w:r w:rsidRPr="009D00E3">
        <w:tab/>
      </w:r>
      <w:r w:rsidRPr="009D00E3">
        <w:tab/>
        <w:t xml:space="preserve">Jana Marková – </w:t>
      </w:r>
      <w:proofErr w:type="spellStart"/>
      <w:r w:rsidRPr="009D00E3">
        <w:t>Chief</w:t>
      </w:r>
      <w:proofErr w:type="spellEnd"/>
      <w:r w:rsidRPr="009D00E3">
        <w:t xml:space="preserve"> </w:t>
      </w:r>
      <w:proofErr w:type="spellStart"/>
      <w:r w:rsidRPr="009D00E3">
        <w:t>Analyst</w:t>
      </w:r>
      <w:proofErr w:type="spellEnd"/>
    </w:p>
    <w:p w:rsidR="009D00E3" w:rsidRPr="009D00E3" w:rsidRDefault="00630FDE" w:rsidP="009D00E3">
      <w:pPr>
        <w:spacing w:line="360" w:lineRule="auto"/>
        <w:jc w:val="both"/>
      </w:pPr>
      <w:hyperlink r:id="rId10" w:history="1">
        <w:r w:rsidR="009D00E3" w:rsidRPr="009D00E3">
          <w:rPr>
            <w:rStyle w:val="Hypertextovprepojenie"/>
          </w:rPr>
          <w:t>jan.budinsky@scb.sk</w:t>
        </w:r>
      </w:hyperlink>
      <w:r w:rsidR="009D00E3" w:rsidRPr="009D00E3">
        <w:tab/>
      </w:r>
      <w:r w:rsidR="009D00E3" w:rsidRPr="009D00E3">
        <w:tab/>
      </w:r>
      <w:r w:rsidR="009D00E3" w:rsidRPr="009D00E3">
        <w:tab/>
      </w:r>
      <w:r w:rsidR="009D00E3" w:rsidRPr="009D00E3">
        <w:tab/>
      </w:r>
      <w:r w:rsidR="009D00E3" w:rsidRPr="009D00E3">
        <w:tab/>
        <w:t>j.markova@scb.sk</w:t>
      </w:r>
    </w:p>
    <w:p w:rsidR="009D00E3" w:rsidRPr="009D00E3" w:rsidRDefault="009D00E3" w:rsidP="009D00E3">
      <w:pPr>
        <w:spacing w:line="360" w:lineRule="auto"/>
        <w:jc w:val="both"/>
      </w:pPr>
      <w:r w:rsidRPr="009D00E3">
        <w:t>Telefón: +421 2 5920 7512</w:t>
      </w:r>
      <w:r w:rsidRPr="009D00E3">
        <w:tab/>
      </w:r>
      <w:r w:rsidRPr="009D00E3">
        <w:tab/>
      </w:r>
      <w:r w:rsidRPr="009D00E3">
        <w:tab/>
      </w:r>
      <w:r w:rsidRPr="009D00E3">
        <w:tab/>
        <w:t xml:space="preserve">Telefón:  +421 2 </w:t>
      </w:r>
      <w:r w:rsidRPr="009D00E3">
        <w:rPr>
          <w:color w:val="000000"/>
        </w:rPr>
        <w:t>5920 7521</w:t>
      </w:r>
    </w:p>
    <w:p w:rsidR="009D00E3" w:rsidRPr="009D00E3" w:rsidRDefault="009D00E3" w:rsidP="009D00E3">
      <w:pPr>
        <w:spacing w:line="360" w:lineRule="auto"/>
        <w:jc w:val="both"/>
        <w:rPr>
          <w:b/>
        </w:rPr>
      </w:pPr>
    </w:p>
    <w:p w:rsidR="009D00E3" w:rsidRPr="009D00E3" w:rsidRDefault="009D00E3" w:rsidP="009D00E3">
      <w:pPr>
        <w:spacing w:line="360" w:lineRule="auto"/>
        <w:jc w:val="both"/>
      </w:pPr>
      <w:proofErr w:type="spellStart"/>
      <w:r w:rsidRPr="009D00E3">
        <w:rPr>
          <w:b/>
        </w:rPr>
        <w:t>Media</w:t>
      </w:r>
      <w:proofErr w:type="spellEnd"/>
      <w:r w:rsidRPr="009D00E3">
        <w:rPr>
          <w:b/>
        </w:rPr>
        <w:t xml:space="preserve"> In – PR agentúra</w:t>
      </w:r>
    </w:p>
    <w:p w:rsidR="009D00E3" w:rsidRPr="009D00E3" w:rsidRDefault="009D00E3" w:rsidP="009D00E3">
      <w:pPr>
        <w:spacing w:line="360" w:lineRule="auto"/>
        <w:jc w:val="both"/>
      </w:pPr>
      <w:r w:rsidRPr="009D00E3">
        <w:t>Zuzana Lacová</w:t>
      </w:r>
    </w:p>
    <w:p w:rsidR="009D00E3" w:rsidRPr="009D00E3" w:rsidRDefault="009D00E3" w:rsidP="009D00E3">
      <w:pPr>
        <w:spacing w:line="360" w:lineRule="auto"/>
        <w:jc w:val="both"/>
      </w:pPr>
      <w:r w:rsidRPr="009D00E3">
        <w:t>zuzana.lacova@cohnwolfe.sk</w:t>
      </w:r>
    </w:p>
    <w:p w:rsidR="009D00E3" w:rsidRPr="009D00E3" w:rsidRDefault="009D00E3" w:rsidP="009D00E3">
      <w:pPr>
        <w:spacing w:line="360" w:lineRule="auto"/>
        <w:jc w:val="both"/>
      </w:pPr>
      <w:r w:rsidRPr="009D00E3">
        <w:t>Mobil: 0911 229 399</w:t>
      </w:r>
    </w:p>
    <w:p w:rsidR="00DC5E91" w:rsidRPr="009D00E3" w:rsidRDefault="00DC5E91" w:rsidP="00DC5E91">
      <w:pPr>
        <w:spacing w:line="360" w:lineRule="auto"/>
        <w:jc w:val="both"/>
        <w:rPr>
          <w:rFonts w:ascii="Arial" w:hAnsi="Arial" w:cs="Arial"/>
          <w:sz w:val="20"/>
          <w:szCs w:val="20"/>
        </w:rPr>
      </w:pPr>
      <w:r w:rsidRPr="009D00E3">
        <w:rPr>
          <w:rFonts w:ascii="Arial" w:hAnsi="Arial" w:cs="Arial"/>
          <w:sz w:val="20"/>
          <w:szCs w:val="20"/>
        </w:rPr>
        <w:tab/>
      </w:r>
      <w:r w:rsidRPr="009D00E3">
        <w:rPr>
          <w:rFonts w:ascii="Arial" w:hAnsi="Arial" w:cs="Arial"/>
          <w:sz w:val="20"/>
          <w:szCs w:val="20"/>
        </w:rPr>
        <w:tab/>
      </w:r>
    </w:p>
    <w:p w:rsidR="00DC5E91" w:rsidRPr="009D00E3" w:rsidRDefault="00DC5E91" w:rsidP="00DC5E91">
      <w:pPr>
        <w:spacing w:line="360" w:lineRule="auto"/>
        <w:jc w:val="both"/>
        <w:rPr>
          <w:b/>
        </w:rPr>
      </w:pPr>
    </w:p>
    <w:p w:rsidR="00194A9D" w:rsidRDefault="00194A9D" w:rsidP="00DC5E91">
      <w:pPr>
        <w:jc w:val="center"/>
      </w:pPr>
    </w:p>
    <w:sectPr w:rsidR="00194A9D" w:rsidSect="00160B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6AE" w:rsidRDefault="00B576AE" w:rsidP="0023175D">
      <w:r>
        <w:separator/>
      </w:r>
    </w:p>
  </w:endnote>
  <w:endnote w:type="continuationSeparator" w:id="0">
    <w:p w:rsidR="00B576AE" w:rsidRDefault="00B576AE" w:rsidP="0023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6AE" w:rsidRDefault="00B576AE" w:rsidP="0023175D">
      <w:r>
        <w:separator/>
      </w:r>
    </w:p>
  </w:footnote>
  <w:footnote w:type="continuationSeparator" w:id="0">
    <w:p w:rsidR="00B576AE" w:rsidRDefault="00B576AE" w:rsidP="00231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6F8"/>
    <w:multiLevelType w:val="hybridMultilevel"/>
    <w:tmpl w:val="0A70A99C"/>
    <w:lvl w:ilvl="0" w:tplc="C21EB3A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2282"/>
    <w:rsid w:val="0000243F"/>
    <w:rsid w:val="00004012"/>
    <w:rsid w:val="00005471"/>
    <w:rsid w:val="000125F0"/>
    <w:rsid w:val="00014312"/>
    <w:rsid w:val="00026964"/>
    <w:rsid w:val="00032C03"/>
    <w:rsid w:val="0003564C"/>
    <w:rsid w:val="00040738"/>
    <w:rsid w:val="00060C90"/>
    <w:rsid w:val="00062FC3"/>
    <w:rsid w:val="0008459E"/>
    <w:rsid w:val="0009111A"/>
    <w:rsid w:val="000C465E"/>
    <w:rsid w:val="000F759F"/>
    <w:rsid w:val="00103B4A"/>
    <w:rsid w:val="001100B4"/>
    <w:rsid w:val="00117FF8"/>
    <w:rsid w:val="00137666"/>
    <w:rsid w:val="00147CCC"/>
    <w:rsid w:val="00154CF0"/>
    <w:rsid w:val="00155B28"/>
    <w:rsid w:val="00160B07"/>
    <w:rsid w:val="001907D8"/>
    <w:rsid w:val="00194A9D"/>
    <w:rsid w:val="001B17B8"/>
    <w:rsid w:val="001C49D8"/>
    <w:rsid w:val="001D074D"/>
    <w:rsid w:val="001D0B8A"/>
    <w:rsid w:val="001D65C0"/>
    <w:rsid w:val="001D770F"/>
    <w:rsid w:val="001E623B"/>
    <w:rsid w:val="001F718A"/>
    <w:rsid w:val="0021037C"/>
    <w:rsid w:val="00226DFE"/>
    <w:rsid w:val="0023175D"/>
    <w:rsid w:val="00240D2A"/>
    <w:rsid w:val="002444AE"/>
    <w:rsid w:val="00254F2D"/>
    <w:rsid w:val="00275608"/>
    <w:rsid w:val="00283DCA"/>
    <w:rsid w:val="00284C71"/>
    <w:rsid w:val="00285A4B"/>
    <w:rsid w:val="00285C18"/>
    <w:rsid w:val="00287C30"/>
    <w:rsid w:val="00297823"/>
    <w:rsid w:val="002A7A08"/>
    <w:rsid w:val="002B41A3"/>
    <w:rsid w:val="002C2945"/>
    <w:rsid w:val="002C3C55"/>
    <w:rsid w:val="002D172F"/>
    <w:rsid w:val="002E086F"/>
    <w:rsid w:val="002E62A6"/>
    <w:rsid w:val="002E7639"/>
    <w:rsid w:val="002F3B5A"/>
    <w:rsid w:val="002F75BD"/>
    <w:rsid w:val="00312344"/>
    <w:rsid w:val="003410E1"/>
    <w:rsid w:val="00356D81"/>
    <w:rsid w:val="00361F96"/>
    <w:rsid w:val="00364C01"/>
    <w:rsid w:val="00380695"/>
    <w:rsid w:val="00393CAB"/>
    <w:rsid w:val="003C03B9"/>
    <w:rsid w:val="003C27E7"/>
    <w:rsid w:val="003C3007"/>
    <w:rsid w:val="003C353F"/>
    <w:rsid w:val="003C4BA0"/>
    <w:rsid w:val="003D2528"/>
    <w:rsid w:val="003D78F9"/>
    <w:rsid w:val="003D7D4B"/>
    <w:rsid w:val="003F0B8D"/>
    <w:rsid w:val="003F25DB"/>
    <w:rsid w:val="00415E0A"/>
    <w:rsid w:val="00430D66"/>
    <w:rsid w:val="00446817"/>
    <w:rsid w:val="004560F1"/>
    <w:rsid w:val="004568CE"/>
    <w:rsid w:val="0045720A"/>
    <w:rsid w:val="0046436A"/>
    <w:rsid w:val="0047111A"/>
    <w:rsid w:val="00474279"/>
    <w:rsid w:val="004B04EE"/>
    <w:rsid w:val="004B0EA6"/>
    <w:rsid w:val="004B6191"/>
    <w:rsid w:val="004E0924"/>
    <w:rsid w:val="004E64BF"/>
    <w:rsid w:val="004F23EC"/>
    <w:rsid w:val="00512A2A"/>
    <w:rsid w:val="0051768B"/>
    <w:rsid w:val="00522826"/>
    <w:rsid w:val="00533C3A"/>
    <w:rsid w:val="00540390"/>
    <w:rsid w:val="005469FC"/>
    <w:rsid w:val="00551AFD"/>
    <w:rsid w:val="005525C4"/>
    <w:rsid w:val="00555328"/>
    <w:rsid w:val="005614AE"/>
    <w:rsid w:val="005647BA"/>
    <w:rsid w:val="0056494B"/>
    <w:rsid w:val="00566711"/>
    <w:rsid w:val="005C5646"/>
    <w:rsid w:val="005F6D3D"/>
    <w:rsid w:val="00601635"/>
    <w:rsid w:val="0060202F"/>
    <w:rsid w:val="006114D9"/>
    <w:rsid w:val="006156AC"/>
    <w:rsid w:val="0062340C"/>
    <w:rsid w:val="006242C7"/>
    <w:rsid w:val="00630FDE"/>
    <w:rsid w:val="006405A8"/>
    <w:rsid w:val="00642363"/>
    <w:rsid w:val="00655F70"/>
    <w:rsid w:val="006674AF"/>
    <w:rsid w:val="00676B2A"/>
    <w:rsid w:val="00687495"/>
    <w:rsid w:val="006A1558"/>
    <w:rsid w:val="006A591B"/>
    <w:rsid w:val="006D51C7"/>
    <w:rsid w:val="006E4971"/>
    <w:rsid w:val="006F0743"/>
    <w:rsid w:val="006F46AA"/>
    <w:rsid w:val="0070479E"/>
    <w:rsid w:val="00722BF4"/>
    <w:rsid w:val="00724FE1"/>
    <w:rsid w:val="00725A88"/>
    <w:rsid w:val="00744D42"/>
    <w:rsid w:val="00745268"/>
    <w:rsid w:val="00746149"/>
    <w:rsid w:val="007501E5"/>
    <w:rsid w:val="007566AA"/>
    <w:rsid w:val="00763362"/>
    <w:rsid w:val="00767B79"/>
    <w:rsid w:val="00770A23"/>
    <w:rsid w:val="00773A9E"/>
    <w:rsid w:val="007848A1"/>
    <w:rsid w:val="007A79BD"/>
    <w:rsid w:val="007A7B01"/>
    <w:rsid w:val="007A7E0C"/>
    <w:rsid w:val="007D01ED"/>
    <w:rsid w:val="007F6CB4"/>
    <w:rsid w:val="007F75BE"/>
    <w:rsid w:val="00803B8F"/>
    <w:rsid w:val="008072CB"/>
    <w:rsid w:val="00810993"/>
    <w:rsid w:val="0083265D"/>
    <w:rsid w:val="0083659F"/>
    <w:rsid w:val="00844D24"/>
    <w:rsid w:val="008639A4"/>
    <w:rsid w:val="00864297"/>
    <w:rsid w:val="008A4661"/>
    <w:rsid w:val="008A5C0D"/>
    <w:rsid w:val="008C1F89"/>
    <w:rsid w:val="008C3BC2"/>
    <w:rsid w:val="008C6B54"/>
    <w:rsid w:val="008D499E"/>
    <w:rsid w:val="008E6076"/>
    <w:rsid w:val="00900D25"/>
    <w:rsid w:val="00905928"/>
    <w:rsid w:val="009140C2"/>
    <w:rsid w:val="00914B10"/>
    <w:rsid w:val="0092393B"/>
    <w:rsid w:val="00933131"/>
    <w:rsid w:val="009400A2"/>
    <w:rsid w:val="00944E31"/>
    <w:rsid w:val="00970908"/>
    <w:rsid w:val="00982DB9"/>
    <w:rsid w:val="009858AB"/>
    <w:rsid w:val="00992282"/>
    <w:rsid w:val="00992C38"/>
    <w:rsid w:val="009B389F"/>
    <w:rsid w:val="009B3D76"/>
    <w:rsid w:val="009B57EF"/>
    <w:rsid w:val="009B7EEF"/>
    <w:rsid w:val="009C6890"/>
    <w:rsid w:val="009C7D71"/>
    <w:rsid w:val="009D00E3"/>
    <w:rsid w:val="009D0ED3"/>
    <w:rsid w:val="009D37E8"/>
    <w:rsid w:val="009D4FDE"/>
    <w:rsid w:val="009D6779"/>
    <w:rsid w:val="009D73AD"/>
    <w:rsid w:val="009E692B"/>
    <w:rsid w:val="00A0018F"/>
    <w:rsid w:val="00A04396"/>
    <w:rsid w:val="00A121C9"/>
    <w:rsid w:val="00A156E1"/>
    <w:rsid w:val="00A233ED"/>
    <w:rsid w:val="00A27A1B"/>
    <w:rsid w:val="00A45E21"/>
    <w:rsid w:val="00A85346"/>
    <w:rsid w:val="00A906ED"/>
    <w:rsid w:val="00AA1939"/>
    <w:rsid w:val="00AA1E01"/>
    <w:rsid w:val="00AA5B9E"/>
    <w:rsid w:val="00AA5C19"/>
    <w:rsid w:val="00AB74AD"/>
    <w:rsid w:val="00AC4B38"/>
    <w:rsid w:val="00AE0623"/>
    <w:rsid w:val="00AE7A05"/>
    <w:rsid w:val="00AF4F37"/>
    <w:rsid w:val="00B10B03"/>
    <w:rsid w:val="00B11C16"/>
    <w:rsid w:val="00B12CBF"/>
    <w:rsid w:val="00B20B55"/>
    <w:rsid w:val="00B33D54"/>
    <w:rsid w:val="00B54CE0"/>
    <w:rsid w:val="00B55FD5"/>
    <w:rsid w:val="00B576AE"/>
    <w:rsid w:val="00B650A6"/>
    <w:rsid w:val="00B82324"/>
    <w:rsid w:val="00BA32DA"/>
    <w:rsid w:val="00BB0DB9"/>
    <w:rsid w:val="00BC0063"/>
    <w:rsid w:val="00BD5873"/>
    <w:rsid w:val="00BD7250"/>
    <w:rsid w:val="00BE3795"/>
    <w:rsid w:val="00C201A8"/>
    <w:rsid w:val="00C20238"/>
    <w:rsid w:val="00C22774"/>
    <w:rsid w:val="00C326B0"/>
    <w:rsid w:val="00C51E0E"/>
    <w:rsid w:val="00C73B90"/>
    <w:rsid w:val="00C83412"/>
    <w:rsid w:val="00C90C0C"/>
    <w:rsid w:val="00C94E61"/>
    <w:rsid w:val="00CA0AB8"/>
    <w:rsid w:val="00CA78D0"/>
    <w:rsid w:val="00CD62CF"/>
    <w:rsid w:val="00CD7F7D"/>
    <w:rsid w:val="00CE1138"/>
    <w:rsid w:val="00CE1B8A"/>
    <w:rsid w:val="00CE579C"/>
    <w:rsid w:val="00D10B50"/>
    <w:rsid w:val="00D15ADA"/>
    <w:rsid w:val="00D1613D"/>
    <w:rsid w:val="00D20A26"/>
    <w:rsid w:val="00D2505A"/>
    <w:rsid w:val="00D273D5"/>
    <w:rsid w:val="00D3402C"/>
    <w:rsid w:val="00D40781"/>
    <w:rsid w:val="00D52137"/>
    <w:rsid w:val="00D53625"/>
    <w:rsid w:val="00D60A91"/>
    <w:rsid w:val="00D662B9"/>
    <w:rsid w:val="00D73330"/>
    <w:rsid w:val="00D82E00"/>
    <w:rsid w:val="00D85259"/>
    <w:rsid w:val="00D85427"/>
    <w:rsid w:val="00D9305C"/>
    <w:rsid w:val="00D979EF"/>
    <w:rsid w:val="00DA734A"/>
    <w:rsid w:val="00DB1A1F"/>
    <w:rsid w:val="00DC5E91"/>
    <w:rsid w:val="00DD2DD9"/>
    <w:rsid w:val="00E05023"/>
    <w:rsid w:val="00E16D89"/>
    <w:rsid w:val="00E21571"/>
    <w:rsid w:val="00E534EA"/>
    <w:rsid w:val="00E6325C"/>
    <w:rsid w:val="00E659B8"/>
    <w:rsid w:val="00E71DD3"/>
    <w:rsid w:val="00E721F0"/>
    <w:rsid w:val="00E77C7A"/>
    <w:rsid w:val="00E82E4A"/>
    <w:rsid w:val="00E945CE"/>
    <w:rsid w:val="00EC5ABB"/>
    <w:rsid w:val="00ED2CC3"/>
    <w:rsid w:val="00EF53EC"/>
    <w:rsid w:val="00F01410"/>
    <w:rsid w:val="00F114B6"/>
    <w:rsid w:val="00F17B3E"/>
    <w:rsid w:val="00F34062"/>
    <w:rsid w:val="00F546EB"/>
    <w:rsid w:val="00F608A9"/>
    <w:rsid w:val="00F70709"/>
    <w:rsid w:val="00F82A76"/>
    <w:rsid w:val="00F87E13"/>
    <w:rsid w:val="00F95938"/>
    <w:rsid w:val="00FC59E0"/>
    <w:rsid w:val="00FD2711"/>
    <w:rsid w:val="00FE1D54"/>
    <w:rsid w:val="00FE33BB"/>
    <w:rsid w:val="00FE4800"/>
    <w:rsid w:val="00FF415E"/>
    <w:rsid w:val="00FF4F0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5E9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F53EC"/>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062FC3"/>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062FC3"/>
    <w:rPr>
      <w:rFonts w:ascii="Tahoma" w:hAnsi="Tahoma" w:cs="Tahoma"/>
      <w:sz w:val="16"/>
      <w:szCs w:val="16"/>
    </w:rPr>
  </w:style>
  <w:style w:type="paragraph" w:styleId="Popis">
    <w:name w:val="caption"/>
    <w:basedOn w:val="Normlny"/>
    <w:next w:val="Normlny"/>
    <w:uiPriority w:val="35"/>
    <w:semiHidden/>
    <w:unhideWhenUsed/>
    <w:qFormat/>
    <w:rsid w:val="008C6B54"/>
    <w:rPr>
      <w:b/>
      <w:bCs/>
      <w:color w:val="4F81BD" w:themeColor="accent1"/>
      <w:sz w:val="18"/>
      <w:szCs w:val="18"/>
    </w:rPr>
  </w:style>
  <w:style w:type="paragraph" w:styleId="Hlavika">
    <w:name w:val="header"/>
    <w:basedOn w:val="Normlny"/>
    <w:link w:val="HlavikaChar"/>
    <w:uiPriority w:val="99"/>
    <w:semiHidden/>
    <w:unhideWhenUsed/>
    <w:rsid w:val="0023175D"/>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semiHidden/>
    <w:rsid w:val="0023175D"/>
  </w:style>
  <w:style w:type="paragraph" w:styleId="Pta">
    <w:name w:val="footer"/>
    <w:basedOn w:val="Normlny"/>
    <w:link w:val="PtaChar"/>
    <w:uiPriority w:val="99"/>
    <w:semiHidden/>
    <w:unhideWhenUsed/>
    <w:rsid w:val="0023175D"/>
    <w:pPr>
      <w:tabs>
        <w:tab w:val="center" w:pos="4536"/>
        <w:tab w:val="right" w:pos="9072"/>
      </w:tabs>
    </w:pPr>
  </w:style>
  <w:style w:type="character" w:customStyle="1" w:styleId="PtaChar">
    <w:name w:val="Päta Char"/>
    <w:basedOn w:val="Predvolenpsmoodseku"/>
    <w:link w:val="Pta"/>
    <w:uiPriority w:val="99"/>
    <w:semiHidden/>
    <w:rsid w:val="0023175D"/>
  </w:style>
  <w:style w:type="character" w:styleId="Hypertextovprepojenie">
    <w:name w:val="Hyperlink"/>
    <w:basedOn w:val="Predvolenpsmoodseku"/>
    <w:uiPriority w:val="99"/>
    <w:rsid w:val="00DC5E91"/>
    <w:rPr>
      <w:rFonts w:cs="Times New Roman"/>
      <w:color w:val="0000FF"/>
      <w:u w:val="single"/>
    </w:rPr>
  </w:style>
  <w:style w:type="character" w:customStyle="1" w:styleId="apple-style-span">
    <w:name w:val="apple-style-span"/>
    <w:basedOn w:val="Predvolenpsmoodseku"/>
    <w:rsid w:val="003410E1"/>
  </w:style>
  <w:style w:type="character" w:customStyle="1" w:styleId="apple-converted-space">
    <w:name w:val="apple-converted-space"/>
    <w:basedOn w:val="Predvolenpsmoodseku"/>
    <w:rsid w:val="003410E1"/>
  </w:style>
  <w:style w:type="character" w:customStyle="1" w:styleId="hps">
    <w:name w:val="hps"/>
    <w:basedOn w:val="Predvolenpsmoodseku"/>
    <w:rsid w:val="003410E1"/>
  </w:style>
</w:styles>
</file>

<file path=word/webSettings.xml><?xml version="1.0" encoding="utf-8"?>
<w:webSettings xmlns:r="http://schemas.openxmlformats.org/officeDocument/2006/relationships" xmlns:w="http://schemas.openxmlformats.org/wordprocessingml/2006/main">
  <w:divs>
    <w:div w:id="39788800">
      <w:bodyDiv w:val="1"/>
      <w:marLeft w:val="0"/>
      <w:marRight w:val="0"/>
      <w:marTop w:val="0"/>
      <w:marBottom w:val="0"/>
      <w:divBdr>
        <w:top w:val="none" w:sz="0" w:space="0" w:color="auto"/>
        <w:left w:val="none" w:sz="0" w:space="0" w:color="auto"/>
        <w:bottom w:val="none" w:sz="0" w:space="0" w:color="auto"/>
        <w:right w:val="none" w:sz="0" w:space="0" w:color="auto"/>
      </w:divBdr>
    </w:div>
    <w:div w:id="42608780">
      <w:bodyDiv w:val="1"/>
      <w:marLeft w:val="0"/>
      <w:marRight w:val="0"/>
      <w:marTop w:val="0"/>
      <w:marBottom w:val="0"/>
      <w:divBdr>
        <w:top w:val="none" w:sz="0" w:space="0" w:color="auto"/>
        <w:left w:val="none" w:sz="0" w:space="0" w:color="auto"/>
        <w:bottom w:val="none" w:sz="0" w:space="0" w:color="auto"/>
        <w:right w:val="none" w:sz="0" w:space="0" w:color="auto"/>
      </w:divBdr>
    </w:div>
    <w:div w:id="133332237">
      <w:bodyDiv w:val="1"/>
      <w:marLeft w:val="0"/>
      <w:marRight w:val="0"/>
      <w:marTop w:val="0"/>
      <w:marBottom w:val="0"/>
      <w:divBdr>
        <w:top w:val="none" w:sz="0" w:space="0" w:color="auto"/>
        <w:left w:val="none" w:sz="0" w:space="0" w:color="auto"/>
        <w:bottom w:val="none" w:sz="0" w:space="0" w:color="auto"/>
        <w:right w:val="none" w:sz="0" w:space="0" w:color="auto"/>
      </w:divBdr>
    </w:div>
    <w:div w:id="190996675">
      <w:bodyDiv w:val="1"/>
      <w:marLeft w:val="0"/>
      <w:marRight w:val="0"/>
      <w:marTop w:val="0"/>
      <w:marBottom w:val="0"/>
      <w:divBdr>
        <w:top w:val="none" w:sz="0" w:space="0" w:color="auto"/>
        <w:left w:val="none" w:sz="0" w:space="0" w:color="auto"/>
        <w:bottom w:val="none" w:sz="0" w:space="0" w:color="auto"/>
        <w:right w:val="none" w:sz="0" w:space="0" w:color="auto"/>
      </w:divBdr>
    </w:div>
    <w:div w:id="192226964">
      <w:bodyDiv w:val="1"/>
      <w:marLeft w:val="0"/>
      <w:marRight w:val="0"/>
      <w:marTop w:val="0"/>
      <w:marBottom w:val="0"/>
      <w:divBdr>
        <w:top w:val="none" w:sz="0" w:space="0" w:color="auto"/>
        <w:left w:val="none" w:sz="0" w:space="0" w:color="auto"/>
        <w:bottom w:val="none" w:sz="0" w:space="0" w:color="auto"/>
        <w:right w:val="none" w:sz="0" w:space="0" w:color="auto"/>
      </w:divBdr>
    </w:div>
    <w:div w:id="211502317">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310984595">
      <w:bodyDiv w:val="1"/>
      <w:marLeft w:val="0"/>
      <w:marRight w:val="0"/>
      <w:marTop w:val="0"/>
      <w:marBottom w:val="0"/>
      <w:divBdr>
        <w:top w:val="none" w:sz="0" w:space="0" w:color="auto"/>
        <w:left w:val="none" w:sz="0" w:space="0" w:color="auto"/>
        <w:bottom w:val="none" w:sz="0" w:space="0" w:color="auto"/>
        <w:right w:val="none" w:sz="0" w:space="0" w:color="auto"/>
      </w:divBdr>
    </w:div>
    <w:div w:id="368915238">
      <w:bodyDiv w:val="1"/>
      <w:marLeft w:val="0"/>
      <w:marRight w:val="0"/>
      <w:marTop w:val="0"/>
      <w:marBottom w:val="0"/>
      <w:divBdr>
        <w:top w:val="none" w:sz="0" w:space="0" w:color="auto"/>
        <w:left w:val="none" w:sz="0" w:space="0" w:color="auto"/>
        <w:bottom w:val="none" w:sz="0" w:space="0" w:color="auto"/>
        <w:right w:val="none" w:sz="0" w:space="0" w:color="auto"/>
      </w:divBdr>
    </w:div>
    <w:div w:id="406420328">
      <w:bodyDiv w:val="1"/>
      <w:marLeft w:val="0"/>
      <w:marRight w:val="0"/>
      <w:marTop w:val="0"/>
      <w:marBottom w:val="0"/>
      <w:divBdr>
        <w:top w:val="none" w:sz="0" w:space="0" w:color="auto"/>
        <w:left w:val="none" w:sz="0" w:space="0" w:color="auto"/>
        <w:bottom w:val="none" w:sz="0" w:space="0" w:color="auto"/>
        <w:right w:val="none" w:sz="0" w:space="0" w:color="auto"/>
      </w:divBdr>
    </w:div>
    <w:div w:id="407728902">
      <w:bodyDiv w:val="1"/>
      <w:marLeft w:val="0"/>
      <w:marRight w:val="0"/>
      <w:marTop w:val="0"/>
      <w:marBottom w:val="0"/>
      <w:divBdr>
        <w:top w:val="none" w:sz="0" w:space="0" w:color="auto"/>
        <w:left w:val="none" w:sz="0" w:space="0" w:color="auto"/>
        <w:bottom w:val="none" w:sz="0" w:space="0" w:color="auto"/>
        <w:right w:val="none" w:sz="0" w:space="0" w:color="auto"/>
      </w:divBdr>
    </w:div>
    <w:div w:id="547911432">
      <w:bodyDiv w:val="1"/>
      <w:marLeft w:val="0"/>
      <w:marRight w:val="0"/>
      <w:marTop w:val="0"/>
      <w:marBottom w:val="0"/>
      <w:divBdr>
        <w:top w:val="none" w:sz="0" w:space="0" w:color="auto"/>
        <w:left w:val="none" w:sz="0" w:space="0" w:color="auto"/>
        <w:bottom w:val="none" w:sz="0" w:space="0" w:color="auto"/>
        <w:right w:val="none" w:sz="0" w:space="0" w:color="auto"/>
      </w:divBdr>
    </w:div>
    <w:div w:id="589772552">
      <w:bodyDiv w:val="1"/>
      <w:marLeft w:val="0"/>
      <w:marRight w:val="0"/>
      <w:marTop w:val="0"/>
      <w:marBottom w:val="0"/>
      <w:divBdr>
        <w:top w:val="none" w:sz="0" w:space="0" w:color="auto"/>
        <w:left w:val="none" w:sz="0" w:space="0" w:color="auto"/>
        <w:bottom w:val="none" w:sz="0" w:space="0" w:color="auto"/>
        <w:right w:val="none" w:sz="0" w:space="0" w:color="auto"/>
      </w:divBdr>
    </w:div>
    <w:div w:id="591089156">
      <w:bodyDiv w:val="1"/>
      <w:marLeft w:val="0"/>
      <w:marRight w:val="0"/>
      <w:marTop w:val="0"/>
      <w:marBottom w:val="0"/>
      <w:divBdr>
        <w:top w:val="none" w:sz="0" w:space="0" w:color="auto"/>
        <w:left w:val="none" w:sz="0" w:space="0" w:color="auto"/>
        <w:bottom w:val="none" w:sz="0" w:space="0" w:color="auto"/>
        <w:right w:val="none" w:sz="0" w:space="0" w:color="auto"/>
      </w:divBdr>
    </w:div>
    <w:div w:id="596792475">
      <w:bodyDiv w:val="1"/>
      <w:marLeft w:val="0"/>
      <w:marRight w:val="0"/>
      <w:marTop w:val="0"/>
      <w:marBottom w:val="0"/>
      <w:divBdr>
        <w:top w:val="none" w:sz="0" w:space="0" w:color="auto"/>
        <w:left w:val="none" w:sz="0" w:space="0" w:color="auto"/>
        <w:bottom w:val="none" w:sz="0" w:space="0" w:color="auto"/>
        <w:right w:val="none" w:sz="0" w:space="0" w:color="auto"/>
      </w:divBdr>
    </w:div>
    <w:div w:id="839464563">
      <w:bodyDiv w:val="1"/>
      <w:marLeft w:val="0"/>
      <w:marRight w:val="0"/>
      <w:marTop w:val="0"/>
      <w:marBottom w:val="0"/>
      <w:divBdr>
        <w:top w:val="none" w:sz="0" w:space="0" w:color="auto"/>
        <w:left w:val="none" w:sz="0" w:space="0" w:color="auto"/>
        <w:bottom w:val="none" w:sz="0" w:space="0" w:color="auto"/>
        <w:right w:val="none" w:sz="0" w:space="0" w:color="auto"/>
      </w:divBdr>
    </w:div>
    <w:div w:id="1009869610">
      <w:bodyDiv w:val="1"/>
      <w:marLeft w:val="0"/>
      <w:marRight w:val="0"/>
      <w:marTop w:val="0"/>
      <w:marBottom w:val="0"/>
      <w:divBdr>
        <w:top w:val="none" w:sz="0" w:space="0" w:color="auto"/>
        <w:left w:val="none" w:sz="0" w:space="0" w:color="auto"/>
        <w:bottom w:val="none" w:sz="0" w:space="0" w:color="auto"/>
        <w:right w:val="none" w:sz="0" w:space="0" w:color="auto"/>
      </w:divBdr>
    </w:div>
    <w:div w:id="1179930010">
      <w:bodyDiv w:val="1"/>
      <w:marLeft w:val="0"/>
      <w:marRight w:val="0"/>
      <w:marTop w:val="0"/>
      <w:marBottom w:val="0"/>
      <w:divBdr>
        <w:top w:val="none" w:sz="0" w:space="0" w:color="auto"/>
        <w:left w:val="none" w:sz="0" w:space="0" w:color="auto"/>
        <w:bottom w:val="none" w:sz="0" w:space="0" w:color="auto"/>
        <w:right w:val="none" w:sz="0" w:space="0" w:color="auto"/>
      </w:divBdr>
    </w:div>
    <w:div w:id="1307979447">
      <w:bodyDiv w:val="1"/>
      <w:marLeft w:val="0"/>
      <w:marRight w:val="0"/>
      <w:marTop w:val="0"/>
      <w:marBottom w:val="0"/>
      <w:divBdr>
        <w:top w:val="none" w:sz="0" w:space="0" w:color="auto"/>
        <w:left w:val="none" w:sz="0" w:space="0" w:color="auto"/>
        <w:bottom w:val="none" w:sz="0" w:space="0" w:color="auto"/>
        <w:right w:val="none" w:sz="0" w:space="0" w:color="auto"/>
      </w:divBdr>
    </w:div>
    <w:div w:id="1473908645">
      <w:bodyDiv w:val="1"/>
      <w:marLeft w:val="0"/>
      <w:marRight w:val="0"/>
      <w:marTop w:val="0"/>
      <w:marBottom w:val="0"/>
      <w:divBdr>
        <w:top w:val="none" w:sz="0" w:space="0" w:color="auto"/>
        <w:left w:val="none" w:sz="0" w:space="0" w:color="auto"/>
        <w:bottom w:val="none" w:sz="0" w:space="0" w:color="auto"/>
        <w:right w:val="none" w:sz="0" w:space="0" w:color="auto"/>
      </w:divBdr>
    </w:div>
    <w:div w:id="1515220189">
      <w:bodyDiv w:val="1"/>
      <w:marLeft w:val="0"/>
      <w:marRight w:val="0"/>
      <w:marTop w:val="0"/>
      <w:marBottom w:val="0"/>
      <w:divBdr>
        <w:top w:val="none" w:sz="0" w:space="0" w:color="auto"/>
        <w:left w:val="none" w:sz="0" w:space="0" w:color="auto"/>
        <w:bottom w:val="none" w:sz="0" w:space="0" w:color="auto"/>
        <w:right w:val="none" w:sz="0" w:space="0" w:color="auto"/>
      </w:divBdr>
    </w:div>
    <w:div w:id="1637636215">
      <w:bodyDiv w:val="1"/>
      <w:marLeft w:val="0"/>
      <w:marRight w:val="0"/>
      <w:marTop w:val="0"/>
      <w:marBottom w:val="0"/>
      <w:divBdr>
        <w:top w:val="none" w:sz="0" w:space="0" w:color="auto"/>
        <w:left w:val="none" w:sz="0" w:space="0" w:color="auto"/>
        <w:bottom w:val="none" w:sz="0" w:space="0" w:color="auto"/>
        <w:right w:val="none" w:sz="0" w:space="0" w:color="auto"/>
      </w:divBdr>
    </w:div>
    <w:div w:id="1695499329">
      <w:bodyDiv w:val="1"/>
      <w:marLeft w:val="0"/>
      <w:marRight w:val="0"/>
      <w:marTop w:val="0"/>
      <w:marBottom w:val="0"/>
      <w:divBdr>
        <w:top w:val="none" w:sz="0" w:space="0" w:color="auto"/>
        <w:left w:val="none" w:sz="0" w:space="0" w:color="auto"/>
        <w:bottom w:val="none" w:sz="0" w:space="0" w:color="auto"/>
        <w:right w:val="none" w:sz="0" w:space="0" w:color="auto"/>
      </w:divBdr>
    </w:div>
    <w:div w:id="1765031897">
      <w:bodyDiv w:val="1"/>
      <w:marLeft w:val="0"/>
      <w:marRight w:val="0"/>
      <w:marTop w:val="0"/>
      <w:marBottom w:val="0"/>
      <w:divBdr>
        <w:top w:val="none" w:sz="0" w:space="0" w:color="auto"/>
        <w:left w:val="none" w:sz="0" w:space="0" w:color="auto"/>
        <w:bottom w:val="none" w:sz="0" w:space="0" w:color="auto"/>
        <w:right w:val="none" w:sz="0" w:space="0" w:color="auto"/>
      </w:divBdr>
    </w:div>
    <w:div w:id="1987929539">
      <w:bodyDiv w:val="1"/>
      <w:marLeft w:val="0"/>
      <w:marRight w:val="0"/>
      <w:marTop w:val="0"/>
      <w:marBottom w:val="0"/>
      <w:divBdr>
        <w:top w:val="none" w:sz="0" w:space="0" w:color="auto"/>
        <w:left w:val="none" w:sz="0" w:space="0" w:color="auto"/>
        <w:bottom w:val="none" w:sz="0" w:space="0" w:color="auto"/>
        <w:right w:val="none" w:sz="0" w:space="0" w:color="auto"/>
      </w:divBdr>
    </w:div>
    <w:div w:id="2058428888">
      <w:bodyDiv w:val="1"/>
      <w:marLeft w:val="0"/>
      <w:marRight w:val="0"/>
      <w:marTop w:val="0"/>
      <w:marBottom w:val="0"/>
      <w:divBdr>
        <w:top w:val="none" w:sz="0" w:space="0" w:color="auto"/>
        <w:left w:val="none" w:sz="0" w:space="0" w:color="auto"/>
        <w:bottom w:val="none" w:sz="0" w:space="0" w:color="auto"/>
        <w:right w:val="none" w:sz="0" w:space="0" w:color="auto"/>
      </w:divBdr>
    </w:div>
    <w:div w:id="2102675248">
      <w:bodyDiv w:val="1"/>
      <w:marLeft w:val="0"/>
      <w:marRight w:val="0"/>
      <w:marTop w:val="0"/>
      <w:marBottom w:val="0"/>
      <w:divBdr>
        <w:top w:val="none" w:sz="0" w:space="0" w:color="auto"/>
        <w:left w:val="none" w:sz="0" w:space="0" w:color="auto"/>
        <w:bottom w:val="none" w:sz="0" w:space="0" w:color="auto"/>
        <w:right w:val="none" w:sz="0" w:space="0" w:color="auto"/>
      </w:divBdr>
    </w:div>
    <w:div w:id="21080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budinsky@scb.sk"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SKFS01.ext.crifnet.com\USERS\sl053janmark\Municipality\tla&#269;ov&#225;%20spr&#225;va%203.Q%202011\podklady%20pre%20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sk-SK" sz="1050" b="1" i="0" baseline="0"/>
              <a:t>Graf č. 1 - Vývoj celkových príjmov za municipality v jednotlivých krajoch</a:t>
            </a:r>
          </a:p>
        </c:rich>
      </c:tx>
    </c:title>
    <c:view3D>
      <c:rAngAx val="1"/>
    </c:view3D>
    <c:plotArea>
      <c:layout>
        <c:manualLayout>
          <c:layoutTarget val="inner"/>
          <c:xMode val="edge"/>
          <c:yMode val="edge"/>
          <c:x val="0.16906788435118181"/>
          <c:y val="0.11464532393977074"/>
          <c:w val="0.68188603937709524"/>
          <c:h val="0.511684624948198"/>
        </c:manualLayout>
      </c:layout>
      <c:bar3DChart>
        <c:barDir val="col"/>
        <c:grouping val="clustered"/>
        <c:ser>
          <c:idx val="0"/>
          <c:order val="0"/>
          <c:tx>
            <c:strRef>
              <c:f>'prijmy '!$B$39:$B$40</c:f>
              <c:strCache>
                <c:ptCount val="1"/>
                <c:pt idx="0">
                  <c:v>trištvrte rok 2010 v € </c:v>
                </c:pt>
              </c:strCache>
            </c:strRef>
          </c:tx>
          <c:spPr>
            <a:solidFill>
              <a:schemeClr val="tx2">
                <a:lumMod val="40000"/>
                <a:lumOff val="60000"/>
              </a:schemeClr>
            </a:solidFill>
          </c:spPr>
          <c:cat>
            <c:strRef>
              <c:f>'prijmy '!$A$41:$A$50</c:f>
              <c:strCache>
                <c:ptCount val="10"/>
                <c:pt idx="0">
                  <c:v>Bratislavský kraj</c:v>
                </c:pt>
                <c:pt idx="1">
                  <c:v>Trnavský kraj</c:v>
                </c:pt>
                <c:pt idx="2">
                  <c:v>Trenčiansky kraj</c:v>
                </c:pt>
                <c:pt idx="3">
                  <c:v>Nitriansky kraj</c:v>
                </c:pt>
                <c:pt idx="4">
                  <c:v>Žilinský kraj</c:v>
                </c:pt>
                <c:pt idx="5">
                  <c:v>Banskobystrický kraj</c:v>
                </c:pt>
                <c:pt idx="6">
                  <c:v>Prešovský kraj</c:v>
                </c:pt>
                <c:pt idx="7">
                  <c:v>Košický kraj</c:v>
                </c:pt>
                <c:pt idx="8">
                  <c:v>Bratislava hlavné mesto</c:v>
                </c:pt>
                <c:pt idx="9">
                  <c:v>Mesto Košice</c:v>
                </c:pt>
              </c:strCache>
            </c:strRef>
          </c:cat>
          <c:val>
            <c:numRef>
              <c:f>'prijmy '!$B$41:$B$50</c:f>
              <c:numCache>
                <c:formatCode>#,##0</c:formatCode>
                <c:ptCount val="10"/>
                <c:pt idx="0">
                  <c:v>188786305</c:v>
                </c:pt>
                <c:pt idx="1">
                  <c:v>284117773</c:v>
                </c:pt>
                <c:pt idx="2">
                  <c:v>288675662</c:v>
                </c:pt>
                <c:pt idx="3">
                  <c:v>325397537</c:v>
                </c:pt>
                <c:pt idx="4">
                  <c:v>348228704</c:v>
                </c:pt>
                <c:pt idx="5">
                  <c:v>305066504</c:v>
                </c:pt>
                <c:pt idx="6">
                  <c:v>421888415</c:v>
                </c:pt>
                <c:pt idx="7">
                  <c:v>288692814</c:v>
                </c:pt>
                <c:pt idx="8">
                  <c:v>185444937</c:v>
                </c:pt>
                <c:pt idx="9">
                  <c:v>103101625</c:v>
                </c:pt>
              </c:numCache>
            </c:numRef>
          </c:val>
        </c:ser>
        <c:ser>
          <c:idx val="1"/>
          <c:order val="1"/>
          <c:tx>
            <c:strRef>
              <c:f>'prijmy '!$C$39:$C$40</c:f>
              <c:strCache>
                <c:ptCount val="1"/>
                <c:pt idx="0">
                  <c:v>trištvrte rok 2011 v € </c:v>
                </c:pt>
              </c:strCache>
            </c:strRef>
          </c:tx>
          <c:spPr>
            <a:solidFill>
              <a:srgbClr val="002060"/>
            </a:solidFill>
          </c:spPr>
          <c:cat>
            <c:strRef>
              <c:f>'prijmy '!$A$41:$A$50</c:f>
              <c:strCache>
                <c:ptCount val="10"/>
                <c:pt idx="0">
                  <c:v>Bratislavský kraj</c:v>
                </c:pt>
                <c:pt idx="1">
                  <c:v>Trnavský kraj</c:v>
                </c:pt>
                <c:pt idx="2">
                  <c:v>Trenčiansky kraj</c:v>
                </c:pt>
                <c:pt idx="3">
                  <c:v>Nitriansky kraj</c:v>
                </c:pt>
                <c:pt idx="4">
                  <c:v>Žilinský kraj</c:v>
                </c:pt>
                <c:pt idx="5">
                  <c:v>Banskobystrický kraj</c:v>
                </c:pt>
                <c:pt idx="6">
                  <c:v>Prešovský kraj</c:v>
                </c:pt>
                <c:pt idx="7">
                  <c:v>Košický kraj</c:v>
                </c:pt>
                <c:pt idx="8">
                  <c:v>Bratislava hlavné mesto</c:v>
                </c:pt>
                <c:pt idx="9">
                  <c:v>Mesto Košice</c:v>
                </c:pt>
              </c:strCache>
            </c:strRef>
          </c:cat>
          <c:val>
            <c:numRef>
              <c:f>'prijmy '!$C$41:$C$50</c:f>
              <c:numCache>
                <c:formatCode>#,##0</c:formatCode>
                <c:ptCount val="10"/>
                <c:pt idx="0">
                  <c:v>193485455</c:v>
                </c:pt>
                <c:pt idx="1">
                  <c:v>293499390</c:v>
                </c:pt>
                <c:pt idx="2">
                  <c:v>285107481</c:v>
                </c:pt>
                <c:pt idx="3">
                  <c:v>338748058</c:v>
                </c:pt>
                <c:pt idx="4">
                  <c:v>371146629</c:v>
                </c:pt>
                <c:pt idx="5">
                  <c:v>308294212</c:v>
                </c:pt>
                <c:pt idx="6">
                  <c:v>450162674</c:v>
                </c:pt>
                <c:pt idx="7">
                  <c:v>303162421</c:v>
                </c:pt>
                <c:pt idx="8">
                  <c:v>156208112</c:v>
                </c:pt>
                <c:pt idx="9">
                  <c:v>113828865</c:v>
                </c:pt>
              </c:numCache>
            </c:numRef>
          </c:val>
        </c:ser>
        <c:shape val="box"/>
        <c:axId val="76371072"/>
        <c:axId val="76372608"/>
        <c:axId val="0"/>
      </c:bar3DChart>
      <c:catAx>
        <c:axId val="76371072"/>
        <c:scaling>
          <c:orientation val="minMax"/>
        </c:scaling>
        <c:axPos val="b"/>
        <c:tickLblPos val="nextTo"/>
        <c:crossAx val="76372608"/>
        <c:crosses val="autoZero"/>
        <c:auto val="1"/>
        <c:lblAlgn val="ctr"/>
        <c:lblOffset val="100"/>
      </c:catAx>
      <c:valAx>
        <c:axId val="76372608"/>
        <c:scaling>
          <c:orientation val="minMax"/>
        </c:scaling>
        <c:axPos val="l"/>
        <c:majorGridlines/>
        <c:numFmt formatCode="#,##0" sourceLinked="1"/>
        <c:tickLblPos val="nextTo"/>
        <c:crossAx val="76371072"/>
        <c:crosses val="autoZero"/>
        <c:crossBetween val="between"/>
      </c:valAx>
    </c:plotArea>
    <c:legend>
      <c:legendPos val="r"/>
      <c:layout>
        <c:manualLayout>
          <c:xMode val="edge"/>
          <c:yMode val="edge"/>
          <c:x val="0.82122466899426549"/>
          <c:y val="0.2004050483788537"/>
          <c:w val="0.16505320654714645"/>
          <c:h val="0.37916755455073065"/>
        </c:manualLayout>
      </c:layout>
    </c:legend>
    <c:plotVisOnly val="1"/>
  </c:chart>
  <c:externalData r:id="rId1"/>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3CE3-ED7E-489C-BB06-4920A620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2662</Words>
  <Characters>15178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sl053janmark</dc:creator>
  <cp:lastModifiedBy>mama</cp:lastModifiedBy>
  <cp:revision>2</cp:revision>
  <cp:lastPrinted>2011-09-29T12:37:00Z</cp:lastPrinted>
  <dcterms:created xsi:type="dcterms:W3CDTF">2012-02-10T11:01:00Z</dcterms:created>
  <dcterms:modified xsi:type="dcterms:W3CDTF">2012-02-10T11:01:00Z</dcterms:modified>
</cp:coreProperties>
</file>