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50" w:rsidRPr="003635C7" w:rsidRDefault="00B07D6C" w:rsidP="00273350">
      <w:pPr>
        <w:suppressAutoHyphens/>
        <w:jc w:val="both"/>
        <w:rPr>
          <w:rFonts w:ascii="Verdana" w:hAnsi="Verdana" w:cs="Arial"/>
          <w:b/>
          <w:color w:val="003B79"/>
          <w:sz w:val="36"/>
          <w:szCs w:val="36"/>
          <w:lang w:val="sk-SK"/>
        </w:rPr>
      </w:pPr>
      <w:r w:rsidRPr="003635C7">
        <w:rPr>
          <w:rFonts w:ascii="Verdana" w:hAnsi="Verdana" w:cs="Arial"/>
          <w:b/>
          <w:color w:val="003B79"/>
          <w:sz w:val="36"/>
          <w:szCs w:val="36"/>
          <w:lang w:val="sk-SK"/>
        </w:rPr>
        <w:t xml:space="preserve">Počet </w:t>
      </w:r>
      <w:r w:rsidR="00273350" w:rsidRPr="003635C7">
        <w:rPr>
          <w:rFonts w:ascii="Verdana" w:hAnsi="Verdana" w:cs="Arial"/>
          <w:b/>
          <w:color w:val="003B79"/>
          <w:sz w:val="36"/>
          <w:szCs w:val="36"/>
          <w:lang w:val="sk-SK"/>
        </w:rPr>
        <w:t>firiem v úpadku sa v prvom štvrťroku 2015 po dlhšom období znížil</w:t>
      </w:r>
    </w:p>
    <w:p w:rsidR="00273350" w:rsidRPr="003635C7" w:rsidRDefault="00273350" w:rsidP="00E74A77">
      <w:pPr>
        <w:suppressAutoHyphens/>
        <w:rPr>
          <w:rFonts w:ascii="Verdana" w:hAnsi="Verdana" w:cs="Arial"/>
          <w:b/>
          <w:color w:val="003B79"/>
          <w:sz w:val="24"/>
          <w:szCs w:val="24"/>
          <w:highlight w:val="yellow"/>
          <w:lang w:val="sk-SK"/>
        </w:rPr>
      </w:pPr>
    </w:p>
    <w:p w:rsidR="006F41FE" w:rsidRPr="003635C7" w:rsidRDefault="00273350" w:rsidP="00273350">
      <w:pPr>
        <w:suppressAutoHyphens/>
        <w:jc w:val="both"/>
        <w:rPr>
          <w:rFonts w:ascii="Verdana" w:hAnsi="Verdana" w:cs="Arial"/>
          <w:b/>
          <w:color w:val="003B79"/>
          <w:sz w:val="24"/>
          <w:szCs w:val="24"/>
          <w:lang w:val="sk-SK"/>
        </w:rPr>
      </w:pPr>
      <w:r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 xml:space="preserve">Menej konkurzov bolo vyhlásených </w:t>
      </w:r>
      <w:r w:rsidR="00445735"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>v</w:t>
      </w:r>
      <w:r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> prvom štvrťroku 2009 a</w:t>
      </w:r>
      <w:r w:rsidR="00EE3585"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> </w:t>
      </w:r>
      <w:r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>m</w:t>
      </w:r>
      <w:r w:rsidR="00EE3585"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>enší počet</w:t>
      </w:r>
      <w:r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 xml:space="preserve"> reštrukturalizácií </w:t>
      </w:r>
      <w:r w:rsidR="00EE3585"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>súdy povolili</w:t>
      </w:r>
      <w:r w:rsidRPr="003635C7">
        <w:rPr>
          <w:rFonts w:ascii="Verdana" w:hAnsi="Verdana" w:cs="Arial"/>
          <w:b/>
          <w:color w:val="003B79"/>
          <w:sz w:val="24"/>
          <w:szCs w:val="24"/>
          <w:lang w:val="sk-SK"/>
        </w:rPr>
        <w:t xml:space="preserve"> v prvom štvrťroku 2010.</w:t>
      </w:r>
    </w:p>
    <w:p w:rsidR="00AC541B" w:rsidRPr="003635C7" w:rsidRDefault="00AC541B" w:rsidP="000559C6">
      <w:pPr>
        <w:suppressAutoHyphens/>
        <w:rPr>
          <w:rFonts w:ascii="Verdana" w:hAnsi="Verdana" w:cs="Arial"/>
          <w:b/>
          <w:color w:val="003B79"/>
          <w:sz w:val="12"/>
          <w:szCs w:val="12"/>
          <w:highlight w:val="yellow"/>
          <w:lang w:val="sk-SK"/>
        </w:rPr>
      </w:pPr>
    </w:p>
    <w:p w:rsidR="006F41FE" w:rsidRPr="003635C7" w:rsidRDefault="00F75573" w:rsidP="001363B4">
      <w:pPr>
        <w:suppressAutoHyphens/>
        <w:jc w:val="both"/>
        <w:rPr>
          <w:rFonts w:ascii="Verdana" w:hAnsi="Verdana" w:cs="Arial"/>
          <w:sz w:val="18"/>
          <w:szCs w:val="18"/>
          <w:lang w:val="sk-SK"/>
        </w:rPr>
      </w:pPr>
      <w:r w:rsidRPr="00F75573">
        <w:rPr>
          <w:rFonts w:ascii="Verdana" w:hAnsi="Verdana" w:cs="Arial"/>
          <w:b/>
          <w:noProof/>
          <w:color w:val="003B79"/>
          <w:sz w:val="36"/>
          <w:szCs w:val="36"/>
          <w:lang w:val="sk-SK" w:eastAsia="sk-SK"/>
        </w:rPr>
        <w:pict>
          <v:line id="Přímá spojnice 4" o:spid="_x0000_s1026" style="position:absolute;left:0;text-align:left;z-index:251659264;visibility:visible;mso-wrap-distance-top:-3e-5mm;mso-wrap-distance-bottom:-3e-5mm;mso-height-relative:margin" from=".25pt,.05pt" to="45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" strokecolor="#ee7d11" strokeweight="1pt">
            <o:lock v:ext="edit" shapetype="f"/>
          </v:line>
        </w:pict>
      </w:r>
    </w:p>
    <w:p w:rsidR="00EF69B8" w:rsidRPr="003635C7" w:rsidRDefault="00AC541B" w:rsidP="00375916">
      <w:pPr>
        <w:pStyle w:val="Zarkazkladnhotextu"/>
        <w:spacing w:after="120"/>
        <w:ind w:firstLine="0"/>
        <w:rPr>
          <w:rFonts w:ascii="Verdana" w:hAnsi="Verdana"/>
          <w:b/>
          <w:sz w:val="18"/>
          <w:szCs w:val="18"/>
          <w:lang w:val="sk-SK"/>
        </w:rPr>
      </w:pPr>
      <w:r w:rsidRPr="003635C7">
        <w:rPr>
          <w:rFonts w:ascii="Verdana" w:hAnsi="Verdana"/>
          <w:b/>
          <w:sz w:val="18"/>
          <w:szCs w:val="18"/>
          <w:lang w:val="sk-SK"/>
        </w:rPr>
        <w:t>Bratislava</w:t>
      </w:r>
      <w:r w:rsidR="00B3399B">
        <w:rPr>
          <w:rFonts w:ascii="Verdana" w:hAnsi="Verdana"/>
          <w:b/>
          <w:sz w:val="18"/>
          <w:szCs w:val="18"/>
          <w:lang w:val="sk-SK"/>
        </w:rPr>
        <w:t>,</w:t>
      </w:r>
      <w:bookmarkStart w:id="0" w:name="_GoBack"/>
      <w:bookmarkEnd w:id="0"/>
      <w:r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273350" w:rsidRPr="003635C7">
        <w:rPr>
          <w:rFonts w:ascii="Verdana" w:hAnsi="Verdana"/>
          <w:b/>
          <w:sz w:val="18"/>
          <w:szCs w:val="18"/>
          <w:lang w:val="sk-SK"/>
        </w:rPr>
        <w:t>9</w:t>
      </w:r>
      <w:r w:rsidR="00D36254" w:rsidRPr="003635C7">
        <w:rPr>
          <w:rFonts w:ascii="Verdana" w:hAnsi="Verdana"/>
          <w:b/>
          <w:sz w:val="18"/>
          <w:szCs w:val="18"/>
          <w:lang w:val="sk-SK"/>
        </w:rPr>
        <w:t>. apríl</w:t>
      </w:r>
      <w:r w:rsidR="0057178F" w:rsidRPr="003635C7">
        <w:rPr>
          <w:rFonts w:ascii="Verdana" w:hAnsi="Verdana"/>
          <w:b/>
          <w:sz w:val="18"/>
          <w:szCs w:val="18"/>
          <w:lang w:val="sk-SK"/>
        </w:rPr>
        <w:t xml:space="preserve"> 201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>5</w:t>
      </w:r>
      <w:r w:rsidR="002315FE" w:rsidRPr="003635C7">
        <w:rPr>
          <w:rFonts w:ascii="Verdana" w:hAnsi="Verdana"/>
          <w:b/>
          <w:sz w:val="18"/>
          <w:szCs w:val="18"/>
          <w:lang w:val="sk-SK"/>
        </w:rPr>
        <w:t xml:space="preserve"> – </w:t>
      </w:r>
      <w:r w:rsidRPr="003635C7">
        <w:rPr>
          <w:rFonts w:ascii="Verdana" w:hAnsi="Verdana"/>
          <w:b/>
          <w:sz w:val="18"/>
          <w:szCs w:val="18"/>
          <w:lang w:val="sk-SK"/>
        </w:rPr>
        <w:t xml:space="preserve">Z aktuálnej analýzy spoločnosti </w:t>
      </w:r>
      <w:r w:rsidR="000C3167" w:rsidRPr="003635C7">
        <w:rPr>
          <w:rFonts w:ascii="Verdana" w:hAnsi="Verdana"/>
          <w:b/>
          <w:sz w:val="18"/>
          <w:szCs w:val="18"/>
          <w:lang w:val="sk-SK"/>
        </w:rPr>
        <w:t xml:space="preserve">CRIF – Slovak </w:t>
      </w:r>
      <w:proofErr w:type="spellStart"/>
      <w:r w:rsidR="000C3167" w:rsidRPr="003635C7">
        <w:rPr>
          <w:rFonts w:ascii="Verdana" w:hAnsi="Verdana"/>
          <w:b/>
          <w:sz w:val="18"/>
          <w:szCs w:val="18"/>
          <w:lang w:val="sk-SK"/>
        </w:rPr>
        <w:t>Credit</w:t>
      </w:r>
      <w:proofErr w:type="spellEnd"/>
      <w:r w:rsidR="000C3167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proofErr w:type="spellStart"/>
      <w:r w:rsidR="000C3167" w:rsidRPr="003635C7">
        <w:rPr>
          <w:rFonts w:ascii="Verdana" w:hAnsi="Verdana"/>
          <w:b/>
          <w:sz w:val="18"/>
          <w:szCs w:val="18"/>
          <w:lang w:val="sk-SK"/>
        </w:rPr>
        <w:t>Bureau</w:t>
      </w:r>
      <w:proofErr w:type="spellEnd"/>
      <w:r w:rsidR="000C3167" w:rsidRPr="003635C7">
        <w:rPr>
          <w:rFonts w:ascii="Verdana" w:hAnsi="Verdana"/>
          <w:b/>
          <w:sz w:val="18"/>
          <w:szCs w:val="18"/>
          <w:lang w:val="sk-SK"/>
        </w:rPr>
        <w:t xml:space="preserve"> vyplýva, že 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>v prvom štvrťroku 201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>5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 xml:space="preserve"> bolo vyhlásených </w:t>
      </w:r>
      <w:r w:rsidR="00273350" w:rsidRPr="003635C7">
        <w:rPr>
          <w:rFonts w:ascii="Verdana" w:hAnsi="Verdana"/>
          <w:b/>
          <w:sz w:val="18"/>
          <w:szCs w:val="18"/>
          <w:lang w:val="sk-SK"/>
        </w:rPr>
        <w:t>98</w:t>
      </w:r>
      <w:r w:rsidR="005923DE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 xml:space="preserve">konkurzov, čo je o </w:t>
      </w:r>
      <w:r w:rsidR="00273350" w:rsidRPr="003635C7">
        <w:rPr>
          <w:rFonts w:ascii="Verdana" w:hAnsi="Verdana"/>
          <w:b/>
          <w:sz w:val="18"/>
          <w:szCs w:val="18"/>
          <w:lang w:val="sk-SK"/>
        </w:rPr>
        <w:t>11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 xml:space="preserve"> menej ako v prvom štvrťroku 201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>4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 xml:space="preserve"> (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>109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 xml:space="preserve">) a zároveň je to najnižší počet konkurzov vyhlásených za prvé tri mesiace </w:t>
      </w:r>
      <w:r w:rsidR="00AF34AE" w:rsidRPr="003635C7">
        <w:rPr>
          <w:rFonts w:ascii="Verdana" w:hAnsi="Verdana"/>
          <w:b/>
          <w:sz w:val="18"/>
          <w:szCs w:val="18"/>
          <w:lang w:val="sk-SK"/>
        </w:rPr>
        <w:t>od roku 20</w:t>
      </w:r>
      <w:r w:rsidR="00273350" w:rsidRPr="003635C7">
        <w:rPr>
          <w:rFonts w:ascii="Verdana" w:hAnsi="Verdana"/>
          <w:b/>
          <w:sz w:val="18"/>
          <w:szCs w:val="18"/>
          <w:lang w:val="sk-SK"/>
        </w:rPr>
        <w:t>09</w:t>
      </w:r>
      <w:r w:rsidR="00EF69B8" w:rsidRPr="003635C7">
        <w:rPr>
          <w:rFonts w:ascii="Verdana" w:hAnsi="Verdana"/>
          <w:b/>
          <w:sz w:val="18"/>
          <w:szCs w:val="18"/>
          <w:lang w:val="sk-SK"/>
        </w:rPr>
        <w:t>.</w:t>
      </w:r>
      <w:r w:rsidR="00AE5092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Medzi zbankrotovanými subjektmi prevládali s počtom 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82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(8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3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>,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67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%) právnické osoby (vrátane jedného 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obecného podniku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), 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16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(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16,33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%) konkurzov bolo vyhlásených na majetok fyzických osôb – živnostníkov. </w:t>
      </w:r>
      <w:r w:rsidR="00AE5092" w:rsidRPr="003635C7">
        <w:rPr>
          <w:rFonts w:ascii="Verdana" w:hAnsi="Verdana"/>
          <w:b/>
          <w:sz w:val="18"/>
          <w:szCs w:val="18"/>
          <w:lang w:val="sk-SK"/>
        </w:rPr>
        <w:t xml:space="preserve">Do konkurzu sa dostalo aj 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6</w:t>
      </w:r>
      <w:r w:rsidR="00AE5092" w:rsidRPr="003635C7">
        <w:rPr>
          <w:rFonts w:ascii="Verdana" w:hAnsi="Verdana"/>
          <w:b/>
          <w:sz w:val="18"/>
          <w:szCs w:val="18"/>
          <w:lang w:val="sk-SK"/>
        </w:rPr>
        <w:t xml:space="preserve"> firiem, ktorým bola 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 xml:space="preserve">v priebehu roku 2014 </w:t>
      </w:r>
      <w:r w:rsidR="00AE5092" w:rsidRPr="003635C7">
        <w:rPr>
          <w:rFonts w:ascii="Verdana" w:hAnsi="Verdana"/>
          <w:b/>
          <w:sz w:val="18"/>
          <w:szCs w:val="18"/>
          <w:lang w:val="sk-SK"/>
        </w:rPr>
        <w:t>najskôr povolená reštrukturalizácia</w:t>
      </w:r>
      <w:r w:rsidR="00C33E64" w:rsidRPr="003635C7">
        <w:rPr>
          <w:rFonts w:ascii="Verdana" w:hAnsi="Verdana"/>
          <w:b/>
          <w:sz w:val="18"/>
          <w:szCs w:val="18"/>
          <w:lang w:val="sk-SK"/>
        </w:rPr>
        <w:t>, ktorá však nebola úspešná</w:t>
      </w:r>
      <w:r w:rsidR="00AE5092" w:rsidRPr="003635C7">
        <w:rPr>
          <w:rFonts w:ascii="Verdana" w:hAnsi="Verdana"/>
          <w:b/>
          <w:sz w:val="18"/>
          <w:szCs w:val="18"/>
          <w:lang w:val="sk-SK"/>
        </w:rPr>
        <w:t>.</w:t>
      </w:r>
    </w:p>
    <w:p w:rsidR="00E63D22" w:rsidRPr="003635C7" w:rsidRDefault="00445735" w:rsidP="00E63D22">
      <w:pPr>
        <w:pStyle w:val="Zarkazkladnhotextu"/>
        <w:spacing w:after="120"/>
        <w:ind w:firstLine="0"/>
        <w:rPr>
          <w:rFonts w:ascii="Verdana" w:hAnsi="Verdana"/>
          <w:b/>
          <w:sz w:val="18"/>
          <w:szCs w:val="18"/>
          <w:lang w:val="sk-SK"/>
        </w:rPr>
      </w:pPr>
      <w:r w:rsidRPr="003635C7">
        <w:rPr>
          <w:rFonts w:ascii="Verdana" w:hAnsi="Verdana"/>
          <w:b/>
          <w:i/>
          <w:sz w:val="18"/>
          <w:szCs w:val="18"/>
          <w:lang w:val="sk-SK"/>
        </w:rPr>
        <w:t>„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 xml:space="preserve">Najrizikovejšími odvetviami boli rovnako ako v predchádzajúcich rokoch obchod, priemysel a stavebníctvo. </w:t>
      </w:r>
      <w:r w:rsidR="00DA2311" w:rsidRPr="003635C7">
        <w:rPr>
          <w:rFonts w:ascii="Verdana" w:hAnsi="Verdana"/>
          <w:b/>
          <w:i/>
          <w:sz w:val="18"/>
          <w:szCs w:val="18"/>
          <w:lang w:val="sk-SK"/>
        </w:rPr>
        <w:t>N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 xml:space="preserve">ajviac </w:t>
      </w:r>
      <w:r w:rsidRPr="003635C7">
        <w:rPr>
          <w:rFonts w:ascii="Verdana" w:hAnsi="Verdana"/>
          <w:b/>
          <w:i/>
          <w:sz w:val="18"/>
          <w:szCs w:val="18"/>
          <w:lang w:val="sk-SK"/>
        </w:rPr>
        <w:t>firemných bankrotov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 xml:space="preserve"> býva </w:t>
      </w:r>
      <w:r w:rsidR="00DA2311" w:rsidRPr="003635C7">
        <w:rPr>
          <w:rFonts w:ascii="Verdana" w:hAnsi="Verdana"/>
          <w:b/>
          <w:i/>
          <w:sz w:val="18"/>
          <w:szCs w:val="18"/>
          <w:lang w:val="sk-SK"/>
        </w:rPr>
        <w:t>až na zriedkavé výkyvy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 xml:space="preserve"> vyhlásených v Bratislavskom kraji, kde zároveň podniká najviac subjektov</w:t>
      </w:r>
      <w:r w:rsidR="00DA2311" w:rsidRPr="003635C7">
        <w:rPr>
          <w:rFonts w:ascii="Verdana" w:hAnsi="Verdana"/>
          <w:b/>
          <w:i/>
          <w:sz w:val="18"/>
          <w:szCs w:val="18"/>
          <w:lang w:val="sk-SK"/>
        </w:rPr>
        <w:t xml:space="preserve"> (v prvom štvrťroku 2014 bol o 1 konkurz viac vyhlásený v Košickom kraji)</w:t>
      </w:r>
      <w:r w:rsidR="005742FE" w:rsidRPr="003635C7">
        <w:rPr>
          <w:rFonts w:ascii="Verdana" w:hAnsi="Verdana"/>
          <w:b/>
          <w:i/>
          <w:sz w:val="18"/>
          <w:szCs w:val="18"/>
          <w:lang w:val="sk-SK"/>
        </w:rPr>
        <w:t>,</w:t>
      </w:r>
      <w:r w:rsidRPr="003635C7">
        <w:rPr>
          <w:rFonts w:ascii="Verdana" w:hAnsi="Verdana"/>
          <w:b/>
          <w:i/>
          <w:sz w:val="18"/>
          <w:szCs w:val="18"/>
          <w:lang w:val="sk-SK"/>
        </w:rPr>
        <w:t xml:space="preserve">“ </w:t>
      </w:r>
      <w:r w:rsidRPr="003635C7">
        <w:rPr>
          <w:rFonts w:ascii="Verdana" w:hAnsi="Verdana"/>
          <w:b/>
          <w:sz w:val="18"/>
          <w:szCs w:val="18"/>
          <w:lang w:val="sk-SK"/>
        </w:rPr>
        <w:t>uvádza Jana Marková, hlavná analytička spoločnosti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. Najmenej </w:t>
      </w:r>
      <w:r w:rsidRPr="003635C7">
        <w:rPr>
          <w:rFonts w:ascii="Verdana" w:hAnsi="Verdana"/>
          <w:b/>
          <w:sz w:val="18"/>
          <w:szCs w:val="18"/>
          <w:lang w:val="sk-SK"/>
        </w:rPr>
        <w:t>subjektov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zbankrotovalo v</w:t>
      </w:r>
      <w:r w:rsidR="00DA2311" w:rsidRPr="003635C7">
        <w:rPr>
          <w:rFonts w:ascii="Verdana" w:hAnsi="Verdana"/>
          <w:b/>
          <w:sz w:val="18"/>
          <w:szCs w:val="18"/>
          <w:lang w:val="sk-SK"/>
        </w:rPr>
        <w:t> prvom štvrťroku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201</w:t>
      </w:r>
      <w:r w:rsidR="00DA2311" w:rsidRPr="003635C7">
        <w:rPr>
          <w:rFonts w:ascii="Verdana" w:hAnsi="Verdana"/>
          <w:b/>
          <w:sz w:val="18"/>
          <w:szCs w:val="18"/>
          <w:lang w:val="sk-SK"/>
        </w:rPr>
        <w:t>5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 xml:space="preserve"> v</w:t>
      </w:r>
      <w:r w:rsidR="00DA2311" w:rsidRPr="003635C7">
        <w:rPr>
          <w:rFonts w:ascii="Verdana" w:hAnsi="Verdana"/>
          <w:b/>
          <w:sz w:val="18"/>
          <w:szCs w:val="18"/>
          <w:lang w:val="sk-SK"/>
        </w:rPr>
        <w:t> </w:t>
      </w:r>
      <w:r w:rsidR="00A8412E" w:rsidRPr="003635C7">
        <w:rPr>
          <w:rFonts w:ascii="Verdana" w:hAnsi="Verdana"/>
          <w:b/>
          <w:sz w:val="18"/>
          <w:szCs w:val="18"/>
          <w:lang w:val="sk-SK"/>
        </w:rPr>
        <w:t xml:space="preserve">Trenčianskom a Nitrianskom </w:t>
      </w:r>
      <w:r w:rsidR="00E63D22" w:rsidRPr="003635C7">
        <w:rPr>
          <w:rFonts w:ascii="Verdana" w:hAnsi="Verdana"/>
          <w:b/>
          <w:sz w:val="18"/>
          <w:szCs w:val="18"/>
          <w:lang w:val="sk-SK"/>
        </w:rPr>
        <w:t>kraji, o rok predtým v Trnavskom kraji.</w:t>
      </w:r>
    </w:p>
    <w:p w:rsidR="003F095D" w:rsidRPr="003635C7" w:rsidRDefault="008C0C99" w:rsidP="003F095D">
      <w:pPr>
        <w:pStyle w:val="Zarkazkladnhotextu"/>
        <w:spacing w:after="120"/>
        <w:ind w:firstLine="0"/>
        <w:rPr>
          <w:rFonts w:ascii="Verdana" w:hAnsi="Verdana" w:cs="Arial"/>
          <w:b/>
          <w:sz w:val="18"/>
          <w:szCs w:val="18"/>
          <w:lang w:val="sk-SK"/>
        </w:rPr>
      </w:pPr>
      <w:r w:rsidRPr="003635C7">
        <w:rPr>
          <w:rFonts w:ascii="Verdana" w:hAnsi="Verdana"/>
          <w:b/>
          <w:sz w:val="18"/>
          <w:szCs w:val="18"/>
          <w:lang w:val="sk-SK"/>
        </w:rPr>
        <w:t>V prvom štvrťroku 2015 bolo povolených 19</w:t>
      </w:r>
      <w:r w:rsidR="00C946EA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5D60E2" w:rsidRPr="003635C7">
        <w:rPr>
          <w:rFonts w:ascii="Verdana" w:hAnsi="Verdana"/>
          <w:b/>
          <w:sz w:val="18"/>
          <w:szCs w:val="18"/>
          <w:lang w:val="sk-SK"/>
        </w:rPr>
        <w:t>reštrukturalizácií</w:t>
      </w:r>
      <w:r w:rsidRPr="003635C7">
        <w:rPr>
          <w:rFonts w:ascii="Verdana" w:hAnsi="Verdana"/>
          <w:b/>
          <w:sz w:val="18"/>
          <w:szCs w:val="18"/>
          <w:lang w:val="sk-SK"/>
        </w:rPr>
        <w:t>, čo je o 8 menej</w:t>
      </w:r>
      <w:r w:rsidR="005D60E2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Pr="003635C7">
        <w:rPr>
          <w:rFonts w:ascii="Verdana" w:hAnsi="Verdana"/>
          <w:b/>
          <w:sz w:val="18"/>
          <w:szCs w:val="18"/>
          <w:lang w:val="sk-SK"/>
        </w:rPr>
        <w:t xml:space="preserve">ako v prvom štvrťroku 2014 (27) a zároveň je to najnižší počet povolených reštrukturalizácií za prvé tri mesiace od roku 2010. </w:t>
      </w:r>
      <w:r w:rsidR="000D0B42" w:rsidRPr="003635C7">
        <w:rPr>
          <w:rFonts w:ascii="Verdana" w:hAnsi="Verdana" w:cs="Arial"/>
          <w:b/>
          <w:sz w:val="18"/>
          <w:szCs w:val="18"/>
          <w:lang w:val="sk-SK"/>
        </w:rPr>
        <w:t xml:space="preserve">Z celkového počtu </w:t>
      </w:r>
      <w:r w:rsidR="003313CF" w:rsidRPr="003635C7">
        <w:rPr>
          <w:rFonts w:ascii="Verdana" w:hAnsi="Verdana" w:cs="Arial"/>
          <w:b/>
          <w:sz w:val="18"/>
          <w:szCs w:val="18"/>
          <w:lang w:val="sk-SK"/>
        </w:rPr>
        <w:t xml:space="preserve">reštrukturalizácií </w:t>
      </w:r>
      <w:r w:rsidR="000D0B42" w:rsidRPr="003635C7">
        <w:rPr>
          <w:rFonts w:ascii="Verdana" w:hAnsi="Verdana" w:cs="Arial"/>
          <w:b/>
          <w:sz w:val="18"/>
          <w:szCs w:val="18"/>
          <w:lang w:val="sk-SK"/>
        </w:rPr>
        <w:t xml:space="preserve">bolo </w:t>
      </w:r>
      <w:r w:rsidRPr="003635C7">
        <w:rPr>
          <w:rFonts w:ascii="Verdana" w:hAnsi="Verdana" w:cs="Arial"/>
          <w:b/>
          <w:sz w:val="18"/>
          <w:szCs w:val="18"/>
          <w:lang w:val="sk-SK"/>
        </w:rPr>
        <w:t>1</w:t>
      </w:r>
      <w:r w:rsidR="00466C25" w:rsidRPr="003635C7">
        <w:rPr>
          <w:rFonts w:ascii="Verdana" w:hAnsi="Verdana" w:cs="Arial"/>
          <w:b/>
          <w:sz w:val="18"/>
          <w:szCs w:val="18"/>
          <w:lang w:val="sk-SK"/>
        </w:rPr>
        <w:t>7</w:t>
      </w:r>
      <w:r w:rsidRPr="003635C7">
        <w:rPr>
          <w:rFonts w:ascii="Verdana" w:hAnsi="Verdana" w:cs="Arial"/>
          <w:b/>
          <w:sz w:val="18"/>
          <w:szCs w:val="18"/>
          <w:lang w:val="sk-SK"/>
        </w:rPr>
        <w:t xml:space="preserve"> (</w:t>
      </w:r>
      <w:r w:rsidR="00466C25" w:rsidRPr="003635C7">
        <w:rPr>
          <w:rFonts w:ascii="Verdana" w:hAnsi="Verdana" w:cs="Arial"/>
          <w:b/>
          <w:sz w:val="18"/>
          <w:szCs w:val="18"/>
          <w:lang w:val="sk-SK"/>
        </w:rPr>
        <w:t>89</w:t>
      </w:r>
      <w:r w:rsidRPr="003635C7">
        <w:rPr>
          <w:rFonts w:ascii="Verdana" w:hAnsi="Verdana" w:cs="Arial"/>
          <w:b/>
          <w:sz w:val="18"/>
          <w:szCs w:val="18"/>
          <w:lang w:val="sk-SK"/>
        </w:rPr>
        <w:t>,</w:t>
      </w:r>
      <w:r w:rsidR="00466C25" w:rsidRPr="003635C7">
        <w:rPr>
          <w:rFonts w:ascii="Verdana" w:hAnsi="Verdana" w:cs="Arial"/>
          <w:b/>
          <w:sz w:val="18"/>
          <w:szCs w:val="18"/>
          <w:lang w:val="sk-SK"/>
        </w:rPr>
        <w:t>47</w:t>
      </w:r>
      <w:r w:rsidR="003313CF" w:rsidRPr="003635C7">
        <w:rPr>
          <w:rFonts w:ascii="Verdana" w:hAnsi="Verdana" w:cs="Arial"/>
          <w:b/>
          <w:sz w:val="18"/>
          <w:szCs w:val="18"/>
          <w:lang w:val="sk-SK"/>
        </w:rPr>
        <w:t xml:space="preserve"> %)</w:t>
      </w:r>
      <w:r w:rsidRPr="003635C7">
        <w:rPr>
          <w:rFonts w:ascii="Verdana" w:hAnsi="Verdana" w:cs="Arial"/>
          <w:b/>
          <w:sz w:val="18"/>
          <w:szCs w:val="18"/>
          <w:lang w:val="sk-SK"/>
        </w:rPr>
        <w:t xml:space="preserve"> </w:t>
      </w:r>
      <w:r w:rsidR="003F095D" w:rsidRPr="003635C7">
        <w:rPr>
          <w:rFonts w:ascii="Verdana" w:hAnsi="Verdana" w:cs="Arial"/>
          <w:b/>
          <w:sz w:val="18"/>
          <w:szCs w:val="18"/>
          <w:lang w:val="sk-SK"/>
        </w:rPr>
        <w:t>povolených právnickým osobám</w:t>
      </w:r>
      <w:r w:rsidR="00466C25" w:rsidRPr="003635C7">
        <w:rPr>
          <w:rFonts w:ascii="Verdana" w:hAnsi="Verdana" w:cs="Arial"/>
          <w:b/>
          <w:sz w:val="18"/>
          <w:szCs w:val="18"/>
          <w:lang w:val="sk-SK"/>
        </w:rPr>
        <w:t xml:space="preserve">, 1 (5,26 %) združeniu </w:t>
      </w:r>
      <w:r w:rsidR="003313CF" w:rsidRPr="003635C7">
        <w:rPr>
          <w:rFonts w:ascii="Verdana" w:hAnsi="Verdana" w:cs="Arial"/>
          <w:b/>
          <w:sz w:val="18"/>
          <w:szCs w:val="18"/>
          <w:lang w:val="sk-SK"/>
        </w:rPr>
        <w:t>a iba 1</w:t>
      </w:r>
      <w:r w:rsidR="00EE3585" w:rsidRPr="003635C7">
        <w:rPr>
          <w:rFonts w:ascii="Verdana" w:hAnsi="Verdana" w:cs="Arial"/>
          <w:b/>
          <w:sz w:val="18"/>
          <w:szCs w:val="18"/>
          <w:lang w:val="sk-SK"/>
        </w:rPr>
        <w:t xml:space="preserve"> (5,26 %) </w:t>
      </w:r>
      <w:r w:rsidR="003F095D" w:rsidRPr="003635C7">
        <w:rPr>
          <w:rFonts w:ascii="Verdana" w:hAnsi="Verdana" w:cs="Arial"/>
          <w:b/>
          <w:sz w:val="18"/>
          <w:szCs w:val="18"/>
          <w:lang w:val="sk-SK"/>
        </w:rPr>
        <w:t>fyzick</w:t>
      </w:r>
      <w:r w:rsidR="003313CF" w:rsidRPr="003635C7">
        <w:rPr>
          <w:rFonts w:ascii="Verdana" w:hAnsi="Verdana" w:cs="Arial"/>
          <w:b/>
          <w:sz w:val="18"/>
          <w:szCs w:val="18"/>
          <w:lang w:val="sk-SK"/>
        </w:rPr>
        <w:t>ej</w:t>
      </w:r>
      <w:r w:rsidR="003F095D" w:rsidRPr="003635C7">
        <w:rPr>
          <w:rFonts w:ascii="Verdana" w:hAnsi="Verdana" w:cs="Arial"/>
          <w:b/>
          <w:sz w:val="18"/>
          <w:szCs w:val="18"/>
          <w:lang w:val="sk-SK"/>
        </w:rPr>
        <w:t xml:space="preserve"> osob</w:t>
      </w:r>
      <w:r w:rsidR="003313CF" w:rsidRPr="003635C7">
        <w:rPr>
          <w:rFonts w:ascii="Verdana" w:hAnsi="Verdana" w:cs="Arial"/>
          <w:b/>
          <w:sz w:val="18"/>
          <w:szCs w:val="18"/>
          <w:lang w:val="sk-SK"/>
        </w:rPr>
        <w:t>e</w:t>
      </w:r>
      <w:r w:rsidR="003F095D" w:rsidRPr="003635C7">
        <w:rPr>
          <w:rFonts w:ascii="Verdana" w:hAnsi="Verdana" w:cs="Arial"/>
          <w:b/>
          <w:sz w:val="18"/>
          <w:szCs w:val="18"/>
          <w:lang w:val="sk-SK"/>
        </w:rPr>
        <w:t xml:space="preserve"> – živnostníko</w:t>
      </w:r>
      <w:r w:rsidR="003313CF" w:rsidRPr="003635C7">
        <w:rPr>
          <w:rFonts w:ascii="Verdana" w:hAnsi="Verdana" w:cs="Arial"/>
          <w:b/>
          <w:sz w:val="18"/>
          <w:szCs w:val="18"/>
          <w:lang w:val="sk-SK"/>
        </w:rPr>
        <w:t>vi.</w:t>
      </w:r>
      <w:r w:rsidR="003F095D" w:rsidRPr="003635C7">
        <w:rPr>
          <w:rFonts w:ascii="Verdana" w:hAnsi="Verdana" w:cs="Arial"/>
          <w:b/>
          <w:sz w:val="18"/>
          <w:szCs w:val="18"/>
          <w:lang w:val="sk-SK"/>
        </w:rPr>
        <w:t xml:space="preserve"> </w:t>
      </w:r>
    </w:p>
    <w:p w:rsidR="00B0629B" w:rsidRPr="003635C7" w:rsidRDefault="005742FE" w:rsidP="00E63D22">
      <w:pPr>
        <w:pStyle w:val="Zarkazkladnhotextu"/>
        <w:spacing w:after="120"/>
        <w:ind w:firstLine="0"/>
        <w:rPr>
          <w:rFonts w:ascii="Verdana" w:hAnsi="Verdana"/>
          <w:b/>
          <w:sz w:val="18"/>
          <w:szCs w:val="18"/>
          <w:lang w:val="sk-SK"/>
        </w:rPr>
      </w:pPr>
      <w:r w:rsidRPr="003635C7">
        <w:rPr>
          <w:rFonts w:ascii="Verdana" w:hAnsi="Verdana"/>
          <w:b/>
          <w:sz w:val="18"/>
          <w:szCs w:val="18"/>
          <w:lang w:val="sk-SK"/>
        </w:rPr>
        <w:t>„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 xml:space="preserve">Rovnako ako </w:t>
      </w:r>
      <w:r w:rsidR="00B0629B" w:rsidRPr="003635C7">
        <w:rPr>
          <w:rFonts w:ascii="Verdana" w:hAnsi="Verdana"/>
          <w:b/>
          <w:i/>
          <w:sz w:val="18"/>
          <w:szCs w:val="18"/>
          <w:lang w:val="sk-SK"/>
        </w:rPr>
        <w:t>vo väčšine predchádzajúcich analyzovaných období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 xml:space="preserve"> bolo najviac reštrukturalizácií povolených </w:t>
      </w:r>
      <w:r w:rsidR="00B0629B" w:rsidRPr="003635C7">
        <w:rPr>
          <w:rFonts w:ascii="Verdana" w:hAnsi="Verdana"/>
          <w:b/>
          <w:i/>
          <w:sz w:val="18"/>
          <w:szCs w:val="18"/>
          <w:lang w:val="sk-SK"/>
        </w:rPr>
        <w:t xml:space="preserve">v 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>priemysle, obchode a</w:t>
      </w:r>
      <w:r w:rsidR="00B0629B" w:rsidRPr="003635C7">
        <w:rPr>
          <w:rFonts w:ascii="Verdana" w:hAnsi="Verdana"/>
          <w:b/>
          <w:i/>
          <w:sz w:val="18"/>
          <w:szCs w:val="18"/>
          <w:lang w:val="sk-SK"/>
        </w:rPr>
        <w:t> </w:t>
      </w:r>
      <w:r w:rsidR="00E63D22" w:rsidRPr="003635C7">
        <w:rPr>
          <w:rFonts w:ascii="Verdana" w:hAnsi="Verdana"/>
          <w:b/>
          <w:i/>
          <w:sz w:val="18"/>
          <w:szCs w:val="18"/>
          <w:lang w:val="sk-SK"/>
        </w:rPr>
        <w:t>stavebníctve</w:t>
      </w:r>
      <w:r w:rsidR="00B0629B" w:rsidRPr="003635C7">
        <w:rPr>
          <w:rFonts w:ascii="Verdana" w:hAnsi="Verdana"/>
          <w:b/>
          <w:i/>
          <w:sz w:val="18"/>
          <w:szCs w:val="18"/>
          <w:lang w:val="sk-SK"/>
        </w:rPr>
        <w:t>.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EE3585" w:rsidRPr="003635C7">
        <w:rPr>
          <w:rFonts w:ascii="Verdana" w:hAnsi="Verdana"/>
          <w:b/>
          <w:i/>
          <w:sz w:val="18"/>
          <w:szCs w:val="18"/>
          <w:lang w:val="sk-SK"/>
        </w:rPr>
        <w:t>S častejšími výkyvmi</w:t>
      </w:r>
      <w:r w:rsidR="00660C67" w:rsidRPr="003635C7">
        <w:rPr>
          <w:rFonts w:ascii="Verdana" w:hAnsi="Verdana"/>
          <w:b/>
          <w:i/>
          <w:sz w:val="18"/>
          <w:szCs w:val="18"/>
          <w:lang w:val="sk-SK"/>
        </w:rPr>
        <w:t xml:space="preserve"> b</w:t>
      </w:r>
      <w:r w:rsidR="00EE3585" w:rsidRPr="003635C7">
        <w:rPr>
          <w:rFonts w:ascii="Verdana" w:hAnsi="Verdana"/>
          <w:b/>
          <w:i/>
          <w:sz w:val="18"/>
          <w:szCs w:val="18"/>
          <w:lang w:val="sk-SK"/>
        </w:rPr>
        <w:t>ýva</w:t>
      </w:r>
      <w:r w:rsidR="00B0629B" w:rsidRPr="003635C7">
        <w:rPr>
          <w:rFonts w:ascii="Verdana" w:hAnsi="Verdana"/>
          <w:b/>
          <w:i/>
          <w:sz w:val="18"/>
          <w:szCs w:val="18"/>
          <w:lang w:val="sk-SK"/>
        </w:rPr>
        <w:t xml:space="preserve"> najviac reštrukturalizácií povolených v Bratislavskom kraji, v prvom štvrťroku 2014 sme ich </w:t>
      </w:r>
      <w:r w:rsidR="007C1999" w:rsidRPr="003635C7">
        <w:rPr>
          <w:rFonts w:ascii="Verdana" w:hAnsi="Verdana"/>
          <w:b/>
          <w:i/>
          <w:sz w:val="18"/>
          <w:szCs w:val="18"/>
          <w:lang w:val="sk-SK"/>
        </w:rPr>
        <w:t xml:space="preserve">prechodne </w:t>
      </w:r>
      <w:r w:rsidR="00B0629B" w:rsidRPr="003635C7">
        <w:rPr>
          <w:rFonts w:ascii="Verdana" w:hAnsi="Verdana"/>
          <w:b/>
          <w:i/>
          <w:sz w:val="18"/>
          <w:szCs w:val="18"/>
          <w:lang w:val="sk-SK"/>
        </w:rPr>
        <w:t>najviac zaznamenali v Žilinskom a Banskobystrickom kraji</w:t>
      </w:r>
      <w:r w:rsidRPr="003635C7">
        <w:rPr>
          <w:rFonts w:ascii="Verdana" w:hAnsi="Verdana"/>
          <w:b/>
          <w:i/>
          <w:sz w:val="18"/>
          <w:szCs w:val="18"/>
          <w:lang w:val="sk-SK"/>
        </w:rPr>
        <w:t>,</w:t>
      </w:r>
      <w:r w:rsidR="001B16FD" w:rsidRPr="003635C7">
        <w:rPr>
          <w:rFonts w:ascii="Verdana" w:hAnsi="Verdana"/>
          <w:b/>
          <w:sz w:val="18"/>
          <w:szCs w:val="18"/>
          <w:lang w:val="sk-SK"/>
        </w:rPr>
        <w:t>“ vysvetľuje Jana Marková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 xml:space="preserve">. </w:t>
      </w:r>
      <w:r w:rsidR="00BC3A69" w:rsidRPr="003635C7">
        <w:rPr>
          <w:rFonts w:ascii="Verdana" w:hAnsi="Verdana"/>
          <w:b/>
          <w:sz w:val="18"/>
          <w:szCs w:val="18"/>
          <w:lang w:val="sk-SK"/>
        </w:rPr>
        <w:t>V prvom štvrťroku 2015 nebola ani 1 reštrukturalizácia povolená v Košickom kraji.</w:t>
      </w:r>
    </w:p>
    <w:p w:rsidR="00387FB6" w:rsidRPr="003635C7" w:rsidRDefault="002730B4" w:rsidP="00387FB6">
      <w:pPr>
        <w:pStyle w:val="Zarkazkladnhotextu"/>
        <w:spacing w:after="120"/>
        <w:ind w:firstLine="0"/>
        <w:rPr>
          <w:rFonts w:ascii="Verdana" w:hAnsi="Verdana"/>
          <w:b/>
          <w:sz w:val="18"/>
          <w:szCs w:val="18"/>
          <w:lang w:val="sk-SK"/>
        </w:rPr>
      </w:pPr>
      <w:r w:rsidRPr="003635C7">
        <w:rPr>
          <w:rFonts w:ascii="Verdana" w:hAnsi="Verdana"/>
          <w:b/>
          <w:sz w:val="18"/>
          <w:szCs w:val="18"/>
          <w:lang w:val="sk-SK"/>
        </w:rPr>
        <w:t xml:space="preserve">V úpadku 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 xml:space="preserve">(v konkurze) </w:t>
      </w:r>
      <w:r w:rsidRPr="003635C7">
        <w:rPr>
          <w:rFonts w:ascii="Verdana" w:hAnsi="Verdana"/>
          <w:b/>
          <w:sz w:val="18"/>
          <w:szCs w:val="18"/>
          <w:lang w:val="sk-SK"/>
        </w:rPr>
        <w:t>sa v</w:t>
      </w:r>
      <w:r w:rsidR="00D154E6" w:rsidRPr="003635C7">
        <w:rPr>
          <w:rFonts w:ascii="Verdana" w:hAnsi="Verdana"/>
          <w:b/>
          <w:sz w:val="18"/>
          <w:szCs w:val="18"/>
          <w:lang w:val="sk-SK"/>
        </w:rPr>
        <w:t xml:space="preserve"> prvom </w:t>
      </w:r>
      <w:r w:rsidRPr="003635C7">
        <w:rPr>
          <w:rFonts w:ascii="Verdana" w:hAnsi="Verdana"/>
          <w:b/>
          <w:sz w:val="18"/>
          <w:szCs w:val="18"/>
          <w:lang w:val="sk-SK"/>
        </w:rPr>
        <w:t>štvrťroku 201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>5</w:t>
      </w:r>
      <w:r w:rsidRPr="003635C7">
        <w:rPr>
          <w:rFonts w:ascii="Verdana" w:hAnsi="Verdana"/>
          <w:b/>
          <w:sz w:val="18"/>
          <w:szCs w:val="18"/>
          <w:lang w:val="sk-SK"/>
        </w:rPr>
        <w:t xml:space="preserve"> ocit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>ol</w:t>
      </w:r>
      <w:r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D154E6" w:rsidRPr="003635C7">
        <w:rPr>
          <w:rFonts w:ascii="Verdana" w:hAnsi="Verdana"/>
          <w:b/>
          <w:sz w:val="18"/>
          <w:szCs w:val="18"/>
          <w:lang w:val="sk-SK"/>
        </w:rPr>
        <w:t xml:space="preserve">iba 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>1</w:t>
      </w:r>
      <w:r w:rsidR="00D154E6" w:rsidRPr="003635C7">
        <w:rPr>
          <w:rFonts w:ascii="Verdana" w:hAnsi="Verdana"/>
          <w:b/>
          <w:sz w:val="18"/>
          <w:szCs w:val="18"/>
          <w:lang w:val="sk-SK"/>
        </w:rPr>
        <w:t xml:space="preserve"> väčší zamestnávate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 xml:space="preserve">ľ, ktorý sa stal </w:t>
      </w:r>
      <w:r w:rsidR="005742FE" w:rsidRPr="003635C7">
        <w:rPr>
          <w:rFonts w:ascii="Verdana" w:hAnsi="Verdana"/>
          <w:b/>
          <w:sz w:val="18"/>
          <w:szCs w:val="18"/>
          <w:lang w:val="sk-SK"/>
        </w:rPr>
        <w:t xml:space="preserve">aj </w:t>
      </w:r>
      <w:r w:rsidR="00B0629B" w:rsidRPr="003635C7">
        <w:rPr>
          <w:rFonts w:ascii="Verdana" w:hAnsi="Verdana"/>
          <w:b/>
          <w:sz w:val="18"/>
          <w:szCs w:val="18"/>
          <w:lang w:val="sk-SK"/>
        </w:rPr>
        <w:t xml:space="preserve">z tohto dôvodu mediálne známym, </w:t>
      </w:r>
      <w:r w:rsidR="00B0629B" w:rsidRPr="003635C7">
        <w:rPr>
          <w:rFonts w:ascii="Verdana" w:hAnsi="Verdana" w:cs="Arial"/>
          <w:b/>
          <w:sz w:val="18"/>
          <w:szCs w:val="18"/>
          <w:lang w:val="sk-SK"/>
        </w:rPr>
        <w:t>SLOVAKIA STEEL MILLS, a.s. v</w:t>
      </w:r>
      <w:r w:rsidR="004833AC" w:rsidRPr="003635C7">
        <w:rPr>
          <w:rFonts w:ascii="Verdana" w:hAnsi="Verdana" w:cs="Arial"/>
          <w:b/>
          <w:sz w:val="18"/>
          <w:szCs w:val="18"/>
          <w:lang w:val="sk-SK"/>
        </w:rPr>
        <w:t> </w:t>
      </w:r>
      <w:r w:rsidR="00B0629B" w:rsidRPr="003635C7">
        <w:rPr>
          <w:rFonts w:ascii="Verdana" w:hAnsi="Verdana" w:cs="Arial"/>
          <w:b/>
          <w:sz w:val="18"/>
          <w:szCs w:val="18"/>
          <w:lang w:val="sk-SK"/>
        </w:rPr>
        <w:t>Strážskom</w:t>
      </w:r>
      <w:r w:rsidR="004833AC" w:rsidRPr="003635C7">
        <w:rPr>
          <w:rFonts w:ascii="Verdana" w:hAnsi="Verdana" w:cs="Arial"/>
          <w:b/>
          <w:sz w:val="18"/>
          <w:szCs w:val="18"/>
          <w:lang w:val="sk-SK"/>
        </w:rPr>
        <w:t>, ktorý patril do kategórie zamestnávateľov s počtom pracovníkov od</w:t>
      </w:r>
      <w:r w:rsidR="00D154E6" w:rsidRPr="003635C7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4833AC" w:rsidRPr="003635C7">
        <w:rPr>
          <w:rFonts w:ascii="Verdana" w:hAnsi="Verdana" w:cs="Arial"/>
          <w:b/>
          <w:sz w:val="18"/>
          <w:szCs w:val="18"/>
          <w:lang w:val="sk-SK"/>
        </w:rPr>
        <w:t>250 do 499.</w:t>
      </w:r>
    </w:p>
    <w:p w:rsidR="00C542BD" w:rsidRPr="003635C7" w:rsidRDefault="00C542BD" w:rsidP="00C542BD">
      <w:pPr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>Do analýzy vstupovali podnikateľské subjekty a fyzické osoby – živnostníci, na majetok ktorých bol vyhlásený konkurz (vrátane subjektov, kde bola najskôr povolená reštrukturalizácia, ale následne bolo reštrukturalizačné konanie zastavené a bol vyhlásený konkurz), resp. ktorým bola povolená reštrukturalizácia (a reštrukturalizačné konanie trvá).</w:t>
      </w:r>
    </w:p>
    <w:p w:rsidR="000C3167" w:rsidRPr="003635C7" w:rsidRDefault="000C3167" w:rsidP="000C3167">
      <w:pPr>
        <w:pStyle w:val="Zarkazkladnhotextu"/>
        <w:spacing w:after="120"/>
        <w:ind w:firstLine="0"/>
        <w:rPr>
          <w:rFonts w:ascii="Verdana" w:eastAsia="Calibri" w:hAnsi="Verdana" w:cs="Arial"/>
          <w:sz w:val="18"/>
          <w:szCs w:val="18"/>
          <w:lang w:val="sk-SK" w:eastAsia="en-US"/>
        </w:rPr>
      </w:pPr>
    </w:p>
    <w:p w:rsidR="006D4D04" w:rsidRPr="003635C7" w:rsidRDefault="006D4D04" w:rsidP="000C3167">
      <w:pPr>
        <w:spacing w:after="120"/>
        <w:jc w:val="both"/>
        <w:rPr>
          <w:rFonts w:ascii="Verdana" w:hAnsi="Verdana" w:cs="Arial"/>
          <w:b/>
          <w:szCs w:val="22"/>
          <w:lang w:val="sk-SK"/>
        </w:rPr>
      </w:pPr>
      <w:r w:rsidRPr="003635C7">
        <w:rPr>
          <w:rFonts w:ascii="Verdana" w:hAnsi="Verdana" w:cs="Arial"/>
          <w:b/>
          <w:szCs w:val="22"/>
          <w:lang w:val="sk-SK"/>
        </w:rPr>
        <w:t>Vývoj počtu a podielu vyhlásených konkurzov</w:t>
      </w:r>
      <w:r w:rsidR="00D05806" w:rsidRPr="003635C7">
        <w:rPr>
          <w:rFonts w:ascii="Verdana" w:hAnsi="Verdana" w:cs="Arial"/>
          <w:b/>
          <w:szCs w:val="22"/>
          <w:lang w:val="sk-SK"/>
        </w:rPr>
        <w:t>.</w:t>
      </w:r>
      <w:r w:rsidRPr="003635C7">
        <w:rPr>
          <w:rFonts w:ascii="Verdana" w:hAnsi="Verdana" w:cs="Arial"/>
          <w:b/>
          <w:szCs w:val="22"/>
          <w:lang w:val="sk-SK"/>
        </w:rPr>
        <w:t xml:space="preserve"> </w:t>
      </w:r>
    </w:p>
    <w:p w:rsidR="006D77A6" w:rsidRPr="003635C7" w:rsidRDefault="00273350" w:rsidP="00302014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>V prvom štvrťroku 2015 bolo vyhlásených 98 konkurzov, čo je o 11, t. j. o 10,</w:t>
      </w:r>
      <w:r w:rsidR="008C0C99" w:rsidRPr="003635C7">
        <w:rPr>
          <w:rFonts w:ascii="Verdana" w:hAnsi="Verdana" w:cs="Arial"/>
          <w:sz w:val="18"/>
          <w:szCs w:val="18"/>
          <w:lang w:val="sk-SK"/>
        </w:rPr>
        <w:t>09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% menej ako v prvom štvrťroku 2014 (109</w:t>
      </w:r>
      <w:r w:rsidR="006D77A6" w:rsidRPr="003635C7">
        <w:rPr>
          <w:rFonts w:ascii="Verdana" w:hAnsi="Verdana" w:cs="Arial"/>
          <w:sz w:val="18"/>
          <w:szCs w:val="18"/>
          <w:lang w:val="sk-SK"/>
        </w:rPr>
        <w:t xml:space="preserve">). </w:t>
      </w:r>
      <w:r w:rsidR="00C53677" w:rsidRPr="003635C7">
        <w:rPr>
          <w:rFonts w:ascii="Verdana" w:hAnsi="Verdana" w:cs="Arial"/>
          <w:sz w:val="18"/>
          <w:szCs w:val="18"/>
          <w:lang w:val="sk-SK"/>
        </w:rPr>
        <w:t>Nižšie</w:t>
      </w:r>
      <w:r w:rsidR="00AF34AE" w:rsidRPr="003635C7">
        <w:rPr>
          <w:rFonts w:ascii="Verdana" w:hAnsi="Verdana" w:cs="Arial"/>
          <w:sz w:val="18"/>
          <w:szCs w:val="18"/>
          <w:lang w:val="sk-SK"/>
        </w:rPr>
        <w:t xml:space="preserve"> počty konkurzov boli v prvom kvartáli za celé obdobie, počas ktorého spoločnosť CRIF  - Slovak </w:t>
      </w:r>
      <w:proofErr w:type="spellStart"/>
      <w:r w:rsidR="00AF34AE" w:rsidRPr="003635C7">
        <w:rPr>
          <w:rFonts w:ascii="Verdana" w:hAnsi="Verdana" w:cs="Arial"/>
          <w:sz w:val="18"/>
          <w:szCs w:val="18"/>
          <w:lang w:val="sk-SK"/>
        </w:rPr>
        <w:t>Credit</w:t>
      </w:r>
      <w:proofErr w:type="spellEnd"/>
      <w:r w:rsidR="00AF34AE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proofErr w:type="spellStart"/>
      <w:r w:rsidR="00AF34AE" w:rsidRPr="003635C7">
        <w:rPr>
          <w:rFonts w:ascii="Verdana" w:hAnsi="Verdana" w:cs="Arial"/>
          <w:sz w:val="18"/>
          <w:szCs w:val="18"/>
          <w:lang w:val="sk-SK"/>
        </w:rPr>
        <w:t>Bureau</w:t>
      </w:r>
      <w:proofErr w:type="spellEnd"/>
      <w:r w:rsidR="00AF34AE" w:rsidRPr="003635C7">
        <w:rPr>
          <w:rFonts w:ascii="Verdana" w:hAnsi="Verdana" w:cs="Arial"/>
          <w:sz w:val="18"/>
          <w:szCs w:val="18"/>
          <w:lang w:val="sk-SK"/>
        </w:rPr>
        <w:t>, s.</w:t>
      </w:r>
      <w:r w:rsidR="00F9086A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AF34AE" w:rsidRPr="003635C7">
        <w:rPr>
          <w:rFonts w:ascii="Verdana" w:hAnsi="Verdana" w:cs="Arial"/>
          <w:sz w:val="18"/>
          <w:szCs w:val="18"/>
          <w:lang w:val="sk-SK"/>
        </w:rPr>
        <w:t>r.</w:t>
      </w:r>
      <w:r w:rsidR="00F9086A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AF34AE" w:rsidRPr="003635C7">
        <w:rPr>
          <w:rFonts w:ascii="Verdana" w:hAnsi="Verdana" w:cs="Arial"/>
          <w:sz w:val="18"/>
          <w:szCs w:val="18"/>
          <w:lang w:val="sk-SK"/>
        </w:rPr>
        <w:t xml:space="preserve">o. analyzuje vývoj konkurzov, t. j. od roku 2006, vyhlásené iba </w:t>
      </w:r>
      <w:r w:rsidR="00AF6D04" w:rsidRPr="003635C7">
        <w:rPr>
          <w:rFonts w:ascii="Verdana" w:hAnsi="Verdana" w:cs="Arial"/>
          <w:sz w:val="18"/>
          <w:szCs w:val="18"/>
          <w:lang w:val="sk-SK"/>
        </w:rPr>
        <w:t>pred rokom 2010</w:t>
      </w:r>
      <w:r w:rsidR="00AF34AE" w:rsidRPr="003635C7">
        <w:rPr>
          <w:rFonts w:ascii="Verdana" w:hAnsi="Verdana" w:cs="Arial"/>
          <w:sz w:val="18"/>
          <w:szCs w:val="18"/>
          <w:lang w:val="sk-SK"/>
        </w:rPr>
        <w:t xml:space="preserve">. </w:t>
      </w:r>
      <w:r w:rsidR="006D77A6" w:rsidRPr="003635C7">
        <w:rPr>
          <w:rFonts w:ascii="Verdana" w:hAnsi="Verdana" w:cs="Arial"/>
          <w:sz w:val="18"/>
          <w:szCs w:val="18"/>
          <w:lang w:val="sk-SK"/>
        </w:rPr>
        <w:t xml:space="preserve">Trend medziročného poklesu počtu vyhlásených bankrotov v prvom kvartáli sme zaznamenali už v roku 2014 (v rovnakom období </w:t>
      </w:r>
      <w:r w:rsidR="00B977C0" w:rsidRPr="003635C7">
        <w:rPr>
          <w:rFonts w:ascii="Verdana" w:hAnsi="Verdana" w:cs="Arial"/>
          <w:sz w:val="18"/>
          <w:szCs w:val="18"/>
          <w:lang w:val="sk-SK"/>
        </w:rPr>
        <w:t xml:space="preserve">roku </w:t>
      </w:r>
      <w:r w:rsidR="006D77A6" w:rsidRPr="003635C7">
        <w:rPr>
          <w:rFonts w:ascii="Verdana" w:hAnsi="Verdana" w:cs="Arial"/>
          <w:sz w:val="18"/>
          <w:szCs w:val="18"/>
          <w:lang w:val="sk-SK"/>
        </w:rPr>
        <w:t>2013 ich bolo vyhlásených 135).</w:t>
      </w:r>
      <w:r w:rsidR="00C33E64" w:rsidRPr="003635C7">
        <w:rPr>
          <w:rFonts w:ascii="Verdana" w:hAnsi="Verdana" w:cs="Arial"/>
          <w:sz w:val="18"/>
          <w:szCs w:val="18"/>
          <w:lang w:val="sk-SK"/>
        </w:rPr>
        <w:t xml:space="preserve"> Do konkurzu sa dostalo aj 6 firiem, ktorým bola v priebehu roku 2014 najskôr povolená reštrukturalizácia</w:t>
      </w:r>
      <w:r w:rsidR="003047A1" w:rsidRPr="003635C7">
        <w:rPr>
          <w:rFonts w:ascii="Verdana" w:hAnsi="Verdana" w:cs="Arial"/>
          <w:sz w:val="18"/>
          <w:szCs w:val="18"/>
          <w:lang w:val="sk-SK"/>
        </w:rPr>
        <w:t>, ktorá však nebola úspešná</w:t>
      </w:r>
      <w:r w:rsidR="00C33E64" w:rsidRPr="003635C7">
        <w:rPr>
          <w:rFonts w:ascii="Verdana" w:hAnsi="Verdana" w:cs="Arial"/>
          <w:sz w:val="18"/>
          <w:szCs w:val="18"/>
          <w:lang w:val="sk-SK"/>
        </w:rPr>
        <w:t>.</w:t>
      </w:r>
    </w:p>
    <w:p w:rsidR="00010FE2" w:rsidRPr="003635C7" w:rsidRDefault="00E41631" w:rsidP="00010FE2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lastRenderedPageBreak/>
        <w:t xml:space="preserve">Z celkového počtu </w:t>
      </w:r>
      <w:r w:rsidR="006D77A6" w:rsidRPr="003635C7">
        <w:rPr>
          <w:rFonts w:ascii="Verdana" w:hAnsi="Verdana" w:cs="Arial"/>
          <w:sz w:val="18"/>
          <w:szCs w:val="18"/>
          <w:lang w:val="sk-SK"/>
        </w:rPr>
        <w:t>98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konkurzov </w:t>
      </w:r>
      <w:r w:rsidR="006D77A6" w:rsidRPr="003635C7">
        <w:rPr>
          <w:rFonts w:ascii="Verdana" w:hAnsi="Verdana" w:cs="Arial"/>
          <w:sz w:val="18"/>
          <w:szCs w:val="18"/>
          <w:lang w:val="sk-SK"/>
        </w:rPr>
        <w:t xml:space="preserve">ich väčšina -  </w:t>
      </w:r>
      <w:r w:rsidR="00C33E64" w:rsidRPr="003635C7">
        <w:rPr>
          <w:rFonts w:ascii="Verdana" w:hAnsi="Verdana" w:cs="Arial"/>
          <w:sz w:val="18"/>
          <w:szCs w:val="18"/>
          <w:lang w:val="sk-SK"/>
        </w:rPr>
        <w:t xml:space="preserve">82, t. j. 83,67 % </w:t>
      </w:r>
      <w:r w:rsidR="006D77A6" w:rsidRPr="003635C7">
        <w:rPr>
          <w:rFonts w:ascii="Verdana" w:hAnsi="Verdana" w:cs="Arial"/>
          <w:sz w:val="18"/>
          <w:szCs w:val="18"/>
          <w:lang w:val="sk-SK"/>
        </w:rPr>
        <w:t>pripadala na právnické osoby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>: na 74 (</w:t>
      </w:r>
      <w:r w:rsidR="00010FE2" w:rsidRPr="003635C7">
        <w:rPr>
          <w:rFonts w:eastAsia="Times New Roman"/>
          <w:color w:val="000000"/>
          <w:szCs w:val="22"/>
          <w:lang w:val="sk-SK" w:eastAsia="sk-SK"/>
        </w:rPr>
        <w:t xml:space="preserve">90,24 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 xml:space="preserve">%) spoločností s ručením obmedzeným, </w:t>
      </w:r>
      <w:r w:rsidR="00B977C0" w:rsidRPr="003635C7">
        <w:rPr>
          <w:rFonts w:ascii="Verdana" w:hAnsi="Verdana" w:cs="Arial"/>
          <w:sz w:val="18"/>
          <w:szCs w:val="18"/>
          <w:lang w:val="sk-SK"/>
        </w:rPr>
        <w:t xml:space="preserve">na 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>5 (</w:t>
      </w:r>
      <w:r w:rsidR="00010FE2" w:rsidRPr="003635C7">
        <w:rPr>
          <w:rFonts w:eastAsia="Times New Roman"/>
          <w:color w:val="000000"/>
          <w:szCs w:val="22"/>
          <w:lang w:val="sk-SK" w:eastAsia="sk-SK"/>
        </w:rPr>
        <w:t xml:space="preserve">6,10 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 xml:space="preserve">%) akciových spoločností, po 1 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br/>
      </w:r>
      <w:r w:rsidR="00010FE2" w:rsidRPr="003635C7">
        <w:rPr>
          <w:rFonts w:ascii="Verdana" w:hAnsi="Verdana" w:cs="Arial"/>
          <w:sz w:val="18"/>
          <w:szCs w:val="18"/>
          <w:lang w:val="sk-SK"/>
        </w:rPr>
        <w:t>(1,22 %) na družstv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o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>, verejn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ú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 xml:space="preserve"> obchodn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ú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 xml:space="preserve"> spoločnos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ť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 xml:space="preserve"> a obecn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ý</w:t>
      </w:r>
      <w:r w:rsidR="00010FE2" w:rsidRPr="003635C7">
        <w:rPr>
          <w:rFonts w:ascii="Verdana" w:hAnsi="Verdana" w:cs="Arial"/>
          <w:sz w:val="18"/>
          <w:szCs w:val="18"/>
          <w:lang w:val="sk-SK"/>
        </w:rPr>
        <w:t xml:space="preserve"> podnik. Na majetok fyzických osôb – živnostníkov bolo vyhlásených 16 (16,33 %) konkurzov.</w:t>
      </w:r>
    </w:p>
    <w:p w:rsidR="00D3281E" w:rsidRPr="003635C7" w:rsidRDefault="00415B93" w:rsidP="00415B93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 xml:space="preserve">Konkurzy boli </w:t>
      </w:r>
      <w:r w:rsidR="00F9086A" w:rsidRPr="003635C7">
        <w:rPr>
          <w:rFonts w:ascii="Verdana" w:hAnsi="Verdana" w:cs="Arial"/>
          <w:sz w:val="18"/>
          <w:szCs w:val="18"/>
          <w:lang w:val="sk-SK"/>
        </w:rPr>
        <w:t xml:space="preserve">na rozdiel od roku 2014 </w:t>
      </w:r>
      <w:r w:rsidRPr="003635C7">
        <w:rPr>
          <w:rFonts w:ascii="Verdana" w:hAnsi="Verdana" w:cs="Arial"/>
          <w:sz w:val="18"/>
          <w:szCs w:val="18"/>
          <w:lang w:val="sk-SK"/>
        </w:rPr>
        <w:t>vyhlásené na</w:t>
      </w:r>
      <w:r w:rsidR="005113C2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 xml:space="preserve">väčší počet </w:t>
      </w:r>
      <w:r w:rsidRPr="003635C7">
        <w:rPr>
          <w:rFonts w:ascii="Verdana" w:hAnsi="Verdana" w:cs="Arial"/>
          <w:sz w:val="18"/>
          <w:szCs w:val="18"/>
          <w:lang w:val="sk-SK"/>
        </w:rPr>
        <w:t>subjekt</w:t>
      </w:r>
      <w:r w:rsidR="005113C2" w:rsidRPr="003635C7">
        <w:rPr>
          <w:rFonts w:ascii="Verdana" w:hAnsi="Verdana" w:cs="Arial"/>
          <w:sz w:val="18"/>
          <w:szCs w:val="18"/>
          <w:lang w:val="sk-SK"/>
        </w:rPr>
        <w:t>ov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zamestnávajúc</w:t>
      </w:r>
      <w:r w:rsidR="005113C2" w:rsidRPr="003635C7">
        <w:rPr>
          <w:rFonts w:ascii="Verdana" w:hAnsi="Verdana" w:cs="Arial"/>
          <w:sz w:val="18"/>
          <w:szCs w:val="18"/>
          <w:lang w:val="sk-SK"/>
        </w:rPr>
        <w:t>ich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viac pracovníkov v porovnaní s firmami</w:t>
      </w:r>
      <w:r w:rsidRPr="003635C7">
        <w:rPr>
          <w:rFonts w:ascii="Verdana" w:hAnsi="Verdana" w:cs="Arial"/>
          <w:sz w:val="18"/>
          <w:szCs w:val="18"/>
          <w:lang w:val="sk-SK"/>
        </w:rPr>
        <w:t>, ktorým bola povolená reštrukturalizácia.</w:t>
      </w:r>
      <w:r w:rsidR="005113C2" w:rsidRPr="003635C7">
        <w:rPr>
          <w:rFonts w:ascii="Verdana" w:hAnsi="Verdana" w:cs="Arial"/>
          <w:sz w:val="18"/>
          <w:szCs w:val="18"/>
          <w:lang w:val="sk-SK"/>
        </w:rPr>
        <w:t xml:space="preserve"> Najväčším zamestnávateľ</w:t>
      </w:r>
      <w:r w:rsidR="001B1793" w:rsidRPr="003635C7">
        <w:rPr>
          <w:rFonts w:ascii="Verdana" w:hAnsi="Verdana" w:cs="Arial"/>
          <w:sz w:val="18"/>
          <w:szCs w:val="18"/>
          <w:lang w:val="sk-SK"/>
        </w:rPr>
        <w:t>om</w:t>
      </w:r>
      <w:r w:rsidR="005113C2" w:rsidRPr="003635C7">
        <w:rPr>
          <w:rFonts w:ascii="Verdana" w:hAnsi="Verdana" w:cs="Arial"/>
          <w:sz w:val="18"/>
          <w:szCs w:val="18"/>
          <w:lang w:val="sk-SK"/>
        </w:rPr>
        <w:t xml:space="preserve"> s intervalom počtu pracovníkov 250 – 499 bol</w:t>
      </w:r>
      <w:r w:rsidR="001B1793" w:rsidRPr="003635C7">
        <w:rPr>
          <w:rFonts w:ascii="Verdana" w:hAnsi="Verdana" w:cs="Arial"/>
          <w:sz w:val="18"/>
          <w:szCs w:val="18"/>
          <w:lang w:val="sk-SK"/>
        </w:rPr>
        <w:t xml:space="preserve"> priemyselný podnik SLOVAKIA STEEL MILLS, a.s. v Strážskom, predmetom činnosti ktorého bola výroba surového železa, ocele a ferozliatin. </w:t>
      </w:r>
      <w:r w:rsidR="009619B9" w:rsidRPr="003635C7">
        <w:rPr>
          <w:rFonts w:ascii="Verdana" w:hAnsi="Verdana" w:cs="Arial"/>
          <w:sz w:val="18"/>
          <w:szCs w:val="18"/>
          <w:lang w:val="sk-SK"/>
        </w:rPr>
        <w:t xml:space="preserve">Po </w:t>
      </w:r>
      <w:r w:rsidR="001B1793" w:rsidRPr="003635C7">
        <w:rPr>
          <w:rFonts w:ascii="Verdana" w:hAnsi="Verdana" w:cs="Arial"/>
          <w:sz w:val="18"/>
          <w:szCs w:val="18"/>
          <w:lang w:val="sk-SK"/>
        </w:rPr>
        <w:t xml:space="preserve">50 až 99 pracovníkov zamestnávali HG </w:t>
      </w:r>
      <w:proofErr w:type="spellStart"/>
      <w:r w:rsidR="001B1793" w:rsidRPr="003635C7">
        <w:rPr>
          <w:rFonts w:ascii="Verdana" w:hAnsi="Verdana" w:cs="Arial"/>
          <w:sz w:val="18"/>
          <w:szCs w:val="18"/>
          <w:lang w:val="sk-SK"/>
        </w:rPr>
        <w:t>Trans</w:t>
      </w:r>
      <w:proofErr w:type="spellEnd"/>
      <w:r w:rsidR="001B1793" w:rsidRPr="003635C7">
        <w:rPr>
          <w:rFonts w:ascii="Verdana" w:hAnsi="Verdana" w:cs="Arial"/>
          <w:sz w:val="18"/>
          <w:szCs w:val="18"/>
          <w:lang w:val="sk-SK"/>
        </w:rPr>
        <w:t>, s. r. o.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,</w:t>
      </w:r>
      <w:r w:rsidR="001B1793" w:rsidRPr="003635C7">
        <w:rPr>
          <w:rFonts w:ascii="Verdana" w:hAnsi="Verdana" w:cs="Arial"/>
          <w:sz w:val="18"/>
          <w:szCs w:val="18"/>
          <w:lang w:val="sk-SK"/>
        </w:rPr>
        <w:t xml:space="preserve"> podnikajúci v nákladnej cestnej doprave</w:t>
      </w:r>
      <w:r w:rsidR="00301FAA" w:rsidRPr="003635C7">
        <w:rPr>
          <w:rFonts w:ascii="Verdana" w:hAnsi="Verdana" w:cs="Arial"/>
          <w:sz w:val="18"/>
          <w:szCs w:val="18"/>
          <w:lang w:val="sk-SK"/>
        </w:rPr>
        <w:t>,</w:t>
      </w:r>
      <w:r w:rsidR="001B1793" w:rsidRPr="003635C7">
        <w:rPr>
          <w:rFonts w:ascii="Verdana" w:hAnsi="Verdana" w:cs="Arial"/>
          <w:sz w:val="18"/>
          <w:szCs w:val="18"/>
          <w:lang w:val="sk-SK"/>
        </w:rPr>
        <w:t xml:space="preserve"> a Práčovne a čistiarne, mestský podnik Banská Bystrica "v likvidácii"</w:t>
      </w:r>
      <w:r w:rsidR="00D3281E" w:rsidRPr="003635C7">
        <w:rPr>
          <w:rFonts w:ascii="Verdana" w:hAnsi="Verdana" w:cs="Arial"/>
          <w:sz w:val="18"/>
          <w:szCs w:val="18"/>
          <w:lang w:val="sk-SK"/>
        </w:rPr>
        <w:t>.</w:t>
      </w:r>
    </w:p>
    <w:p w:rsidR="0006094D" w:rsidRPr="003635C7" w:rsidRDefault="0006094D" w:rsidP="00E5633E">
      <w:pPr>
        <w:pStyle w:val="Zarkazkladnhotextu"/>
        <w:spacing w:after="120"/>
        <w:ind w:firstLine="0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 xml:space="preserve">Vývoj počtu a podielu vyhlásených konkurzov </w:t>
      </w:r>
      <w:r w:rsidR="00D3281E" w:rsidRPr="003635C7">
        <w:rPr>
          <w:rFonts w:ascii="Verdana" w:hAnsi="Verdana" w:cs="Arial"/>
          <w:sz w:val="18"/>
          <w:szCs w:val="18"/>
          <w:lang w:val="sk-SK"/>
        </w:rPr>
        <w:t>ne</w:t>
      </w:r>
      <w:r w:rsidRPr="003635C7">
        <w:rPr>
          <w:rFonts w:ascii="Verdana" w:hAnsi="Verdana" w:cs="Arial"/>
          <w:sz w:val="18"/>
          <w:szCs w:val="18"/>
          <w:lang w:val="sk-SK"/>
        </w:rPr>
        <w:t>bol v</w:t>
      </w:r>
      <w:r w:rsidR="00D3281E" w:rsidRPr="003635C7">
        <w:rPr>
          <w:rFonts w:ascii="Verdana" w:hAnsi="Verdana" w:cs="Arial"/>
          <w:sz w:val="18"/>
          <w:szCs w:val="18"/>
          <w:lang w:val="sk-SK"/>
        </w:rPr>
        <w:t>o všetkých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sekciách ekonomických činností (odvetviach) a krajoch </w:t>
      </w:r>
      <w:r w:rsidR="00D3281E" w:rsidRPr="003635C7">
        <w:rPr>
          <w:rFonts w:ascii="Verdana" w:hAnsi="Verdana" w:cs="Arial"/>
          <w:sz w:val="18"/>
          <w:szCs w:val="18"/>
          <w:lang w:val="sk-SK"/>
        </w:rPr>
        <w:t>rovnaký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tak v </w:t>
      </w:r>
      <w:r w:rsidR="00AA414D" w:rsidRPr="003635C7">
        <w:rPr>
          <w:rFonts w:ascii="Verdana" w:hAnsi="Verdana" w:cs="Arial"/>
          <w:sz w:val="18"/>
          <w:szCs w:val="18"/>
          <w:lang w:val="sk-SK"/>
        </w:rPr>
        <w:t>prvom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štvrťroku 201</w:t>
      </w:r>
      <w:r w:rsidR="00D3281E" w:rsidRPr="003635C7">
        <w:rPr>
          <w:rFonts w:ascii="Verdana" w:hAnsi="Verdana" w:cs="Arial"/>
          <w:sz w:val="18"/>
          <w:szCs w:val="18"/>
          <w:lang w:val="sk-SK"/>
        </w:rPr>
        <w:t>5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, ako aj medzi porovnávanými </w:t>
      </w:r>
      <w:r w:rsidR="00F758E1" w:rsidRPr="003635C7">
        <w:rPr>
          <w:rFonts w:ascii="Verdana" w:hAnsi="Verdana" w:cs="Arial"/>
          <w:sz w:val="18"/>
          <w:szCs w:val="18"/>
          <w:lang w:val="sk-SK"/>
        </w:rPr>
        <w:t>kvartálmi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navzájom. </w:t>
      </w:r>
    </w:p>
    <w:p w:rsidR="009619B9" w:rsidRPr="003635C7" w:rsidRDefault="00AA414D" w:rsidP="00E5633E">
      <w:pPr>
        <w:pStyle w:val="Zarkazkladnhotextu"/>
        <w:spacing w:after="120"/>
        <w:ind w:firstLine="0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>Počas prvých troch mesiacov roku</w:t>
      </w:r>
      <w:r w:rsidR="0006094D" w:rsidRPr="003635C7">
        <w:rPr>
          <w:rFonts w:ascii="Verdana" w:hAnsi="Verdana" w:cs="Arial"/>
          <w:sz w:val="18"/>
          <w:szCs w:val="18"/>
          <w:lang w:val="sk-SK"/>
        </w:rPr>
        <w:t xml:space="preserve"> 201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5</w:t>
      </w:r>
      <w:r w:rsidR="0006094D" w:rsidRPr="003635C7">
        <w:rPr>
          <w:rFonts w:ascii="Verdana" w:hAnsi="Verdana" w:cs="Arial"/>
          <w:sz w:val="18"/>
          <w:szCs w:val="18"/>
          <w:lang w:val="sk-SK"/>
        </w:rPr>
        <w:t xml:space="preserve"> bol aspoň 1 konkurz vyhlásený v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1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4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z 21 sekcií ekonomických činností (graf č. 1). </w:t>
      </w:r>
      <w:r w:rsidR="009619B9" w:rsidRPr="003635C7">
        <w:rPr>
          <w:rFonts w:ascii="Verdana" w:hAnsi="Verdana" w:cs="Arial"/>
          <w:sz w:val="18"/>
          <w:szCs w:val="18"/>
          <w:lang w:val="sk-SK"/>
        </w:rPr>
        <w:t>Rovnako ako vo väčšine analyzovaných období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ich 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>bol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o 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>najv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iac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(26) vyhlásených 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>vo veľkoobchode a maloobchode; oprave motorových v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ozidiel a motocyklov (sekcia G). </w:t>
      </w:r>
      <w:r w:rsidR="009619B9" w:rsidRPr="003635C7">
        <w:rPr>
          <w:rFonts w:ascii="Verdana" w:hAnsi="Verdana" w:cs="Arial"/>
          <w:sz w:val="18"/>
          <w:szCs w:val="18"/>
          <w:lang w:val="sk-SK"/>
        </w:rPr>
        <w:t>V tomto odvetví sme zároveň zaznamenali najväčší medziročný pokles počtu bankrotov o</w:t>
      </w:r>
      <w:r w:rsidR="00BA6F17" w:rsidRPr="003635C7">
        <w:rPr>
          <w:rFonts w:ascii="Verdana" w:hAnsi="Verdana" w:cs="Arial"/>
          <w:sz w:val="18"/>
          <w:szCs w:val="18"/>
          <w:lang w:val="sk-SK"/>
        </w:rPr>
        <w:t> </w:t>
      </w:r>
      <w:r w:rsidR="009619B9" w:rsidRPr="003635C7">
        <w:rPr>
          <w:rFonts w:ascii="Verdana" w:hAnsi="Verdana" w:cs="Arial"/>
          <w:sz w:val="18"/>
          <w:szCs w:val="18"/>
          <w:lang w:val="sk-SK"/>
        </w:rPr>
        <w:t>10</w:t>
      </w:r>
      <w:r w:rsidR="00BA6F17" w:rsidRPr="003635C7">
        <w:rPr>
          <w:rFonts w:ascii="Verdana" w:hAnsi="Verdana" w:cs="Arial"/>
          <w:sz w:val="18"/>
          <w:szCs w:val="18"/>
          <w:lang w:val="sk-SK"/>
        </w:rPr>
        <w:t xml:space="preserve"> (z 36 na 26)</w:t>
      </w:r>
      <w:r w:rsidR="009619B9" w:rsidRPr="003635C7">
        <w:rPr>
          <w:rFonts w:ascii="Verdana" w:hAnsi="Verdana" w:cs="Arial"/>
          <w:sz w:val="18"/>
          <w:szCs w:val="18"/>
          <w:lang w:val="sk-SK"/>
        </w:rPr>
        <w:t xml:space="preserve">, t. j. o 27,78 %. </w:t>
      </w:r>
      <w:r w:rsidR="00067D56" w:rsidRPr="003635C7">
        <w:rPr>
          <w:rFonts w:ascii="Verdana" w:hAnsi="Verdana" w:cs="Arial"/>
          <w:sz w:val="18"/>
          <w:szCs w:val="18"/>
          <w:lang w:val="sk-SK"/>
        </w:rPr>
        <w:t>Po obchode ako obvykle nasledovala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>priemyseln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á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výrob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a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(sekcia C – 1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9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 xml:space="preserve"> konkurzov)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, kde na rozdiel od tendencie </w:t>
      </w:r>
      <w:r w:rsidR="00067D56" w:rsidRPr="003635C7">
        <w:rPr>
          <w:rFonts w:ascii="Verdana" w:hAnsi="Verdana" w:cs="Arial"/>
          <w:sz w:val="18"/>
          <w:szCs w:val="18"/>
          <w:lang w:val="sk-SK"/>
        </w:rPr>
        <w:t xml:space="preserve">vo vývoji bankrotov 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v</w:t>
      </w:r>
      <w:r w:rsidR="00067D56" w:rsidRPr="003635C7">
        <w:rPr>
          <w:rFonts w:ascii="Verdana" w:hAnsi="Verdana" w:cs="Arial"/>
          <w:sz w:val="18"/>
          <w:szCs w:val="18"/>
          <w:lang w:val="sk-SK"/>
        </w:rPr>
        <w:t xml:space="preserve"> SR celkom ich 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>počet vzrástol</w:t>
      </w:r>
      <w:r w:rsidR="00067D56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o</w:t>
      </w:r>
      <w:r w:rsidR="00BA6F17" w:rsidRPr="003635C7">
        <w:rPr>
          <w:rFonts w:ascii="Verdana" w:hAnsi="Verdana" w:cs="Arial"/>
          <w:sz w:val="18"/>
          <w:szCs w:val="18"/>
          <w:lang w:val="sk-SK"/>
        </w:rPr>
        <w:t> 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2</w:t>
      </w:r>
      <w:r w:rsidR="00BA6F17" w:rsidRPr="003635C7">
        <w:rPr>
          <w:rFonts w:ascii="Verdana" w:hAnsi="Verdana" w:cs="Arial"/>
          <w:sz w:val="18"/>
          <w:szCs w:val="18"/>
          <w:lang w:val="sk-SK"/>
        </w:rPr>
        <w:t xml:space="preserve"> (zo 17 na 19)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, t. j. o 11,76 %</w:t>
      </w:r>
      <w:r w:rsidR="000870E2" w:rsidRPr="003635C7">
        <w:rPr>
          <w:rFonts w:ascii="Verdana" w:hAnsi="Verdana" w:cs="Arial"/>
          <w:sz w:val="18"/>
          <w:szCs w:val="18"/>
          <w:lang w:val="sk-SK"/>
        </w:rPr>
        <w:t>.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</w:p>
    <w:p w:rsidR="00F43DF4" w:rsidRPr="003635C7" w:rsidRDefault="000870E2" w:rsidP="00E5633E">
      <w:pPr>
        <w:pStyle w:val="Zarkazkladnhotextu"/>
        <w:spacing w:after="120"/>
        <w:ind w:firstLine="0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>V stavebníctve (sekcia F), ktor</w:t>
      </w:r>
      <w:r w:rsidR="00F758E1" w:rsidRPr="003635C7">
        <w:rPr>
          <w:rFonts w:ascii="Verdana" w:hAnsi="Verdana" w:cs="Arial"/>
          <w:sz w:val="18"/>
          <w:szCs w:val="18"/>
          <w:lang w:val="sk-SK"/>
        </w:rPr>
        <w:t>é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C80228" w:rsidRPr="003635C7">
        <w:rPr>
          <w:rFonts w:ascii="Verdana" w:hAnsi="Verdana" w:cs="Arial"/>
          <w:sz w:val="18"/>
          <w:szCs w:val="18"/>
          <w:lang w:val="sk-SK"/>
        </w:rPr>
        <w:t xml:space="preserve">bolo vo väčšine analyzovaných období  </w:t>
      </w:r>
      <w:r w:rsidR="00F758E1" w:rsidRPr="003635C7">
        <w:rPr>
          <w:rFonts w:ascii="Verdana" w:hAnsi="Verdana" w:cs="Arial"/>
          <w:sz w:val="18"/>
          <w:szCs w:val="18"/>
          <w:lang w:val="sk-SK"/>
        </w:rPr>
        <w:t xml:space="preserve">tretie 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v poradí </w:t>
      </w:r>
      <w:r w:rsidR="00F758E1" w:rsidRPr="003635C7">
        <w:rPr>
          <w:rFonts w:ascii="Verdana" w:hAnsi="Verdana" w:cs="Arial"/>
          <w:sz w:val="18"/>
          <w:szCs w:val="18"/>
          <w:lang w:val="sk-SK"/>
        </w:rPr>
        <w:t>odvetví</w:t>
      </w:r>
      <w:r w:rsidR="00F43DF4" w:rsidRPr="003635C7">
        <w:rPr>
          <w:rFonts w:ascii="Verdana" w:hAnsi="Verdana" w:cs="Arial"/>
          <w:sz w:val="18"/>
          <w:szCs w:val="18"/>
          <w:lang w:val="sk-SK"/>
        </w:rPr>
        <w:t xml:space="preserve"> (v prvom štvrťroku 2014 bolo štvrté za administratívnymi a podpornými službami – sekcia N)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,</w:t>
      </w:r>
      <w:r w:rsidR="00F758E1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3C2049" w:rsidRPr="003635C7">
        <w:rPr>
          <w:rFonts w:ascii="Verdana" w:hAnsi="Verdana" w:cs="Arial"/>
          <w:sz w:val="18"/>
          <w:szCs w:val="18"/>
          <w:lang w:val="sk-SK"/>
        </w:rPr>
        <w:t xml:space="preserve">sme zaznamenali 12 </w:t>
      </w:r>
      <w:r w:rsidR="006E6C2D" w:rsidRPr="003635C7">
        <w:rPr>
          <w:rFonts w:ascii="Verdana" w:hAnsi="Verdana" w:cs="Arial"/>
          <w:sz w:val="18"/>
          <w:szCs w:val="18"/>
          <w:lang w:val="sk-SK"/>
        </w:rPr>
        <w:t xml:space="preserve">vyhlásených </w:t>
      </w:r>
      <w:r w:rsidR="003C2049" w:rsidRPr="003635C7">
        <w:rPr>
          <w:rFonts w:ascii="Verdana" w:hAnsi="Verdana" w:cs="Arial"/>
          <w:sz w:val="18"/>
          <w:szCs w:val="18"/>
          <w:lang w:val="sk-SK"/>
        </w:rPr>
        <w:t>konkurzov</w:t>
      </w:r>
      <w:r w:rsidR="00D67BBE" w:rsidRPr="003635C7">
        <w:rPr>
          <w:rFonts w:ascii="Verdana" w:hAnsi="Verdana" w:cs="Arial"/>
          <w:sz w:val="18"/>
          <w:szCs w:val="18"/>
          <w:lang w:val="sk-SK"/>
        </w:rPr>
        <w:t>.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 xml:space="preserve"> Ich počet sa medziročne nezmenil a aj v </w:t>
      </w:r>
      <w:r w:rsidR="006E6C2D" w:rsidRPr="003635C7">
        <w:rPr>
          <w:rFonts w:ascii="Verdana" w:hAnsi="Verdana" w:cs="Arial"/>
          <w:sz w:val="18"/>
          <w:szCs w:val="18"/>
          <w:lang w:val="sk-SK"/>
        </w:rPr>
        <w:t>iných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 xml:space="preserve"> odvetviach, </w:t>
      </w:r>
      <w:r w:rsidR="006E6C2D" w:rsidRPr="003635C7">
        <w:rPr>
          <w:rFonts w:ascii="Verdana" w:hAnsi="Verdana" w:cs="Arial"/>
          <w:sz w:val="18"/>
          <w:szCs w:val="18"/>
          <w:lang w:val="sk-SK"/>
        </w:rPr>
        <w:t xml:space="preserve">z ktorých firmy na stavebníctvo 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 xml:space="preserve">bezprostredne nadväzujú, 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 xml:space="preserve">bol </w:t>
      </w:r>
      <w:r w:rsidR="00771435" w:rsidRPr="003635C7">
        <w:rPr>
          <w:rFonts w:ascii="Verdana" w:hAnsi="Verdana" w:cs="Arial"/>
          <w:sz w:val="18"/>
          <w:szCs w:val="18"/>
          <w:lang w:val="sk-SK"/>
        </w:rPr>
        <w:t xml:space="preserve">na rozdiel od predchádzajúcich rokov 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vývoj ich počtu pozitívny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>. Počas prvého štvrťroka 2015 sme identifikovali</w:t>
      </w:r>
      <w:r w:rsidR="006E6C2D" w:rsidRPr="003635C7">
        <w:rPr>
          <w:rFonts w:ascii="Verdana" w:hAnsi="Verdana" w:cs="Arial"/>
          <w:sz w:val="18"/>
          <w:szCs w:val="18"/>
          <w:lang w:val="sk-SK"/>
        </w:rPr>
        <w:t xml:space="preserve"> takýchto nadväzujúcich firiem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 xml:space="preserve"> v priemyselnej výrobe (sekcia C) </w:t>
      </w:r>
      <w:r w:rsidR="00627F1F" w:rsidRPr="003635C7">
        <w:rPr>
          <w:rFonts w:ascii="Verdana" w:hAnsi="Verdana" w:cs="Arial"/>
          <w:sz w:val="18"/>
          <w:szCs w:val="18"/>
          <w:lang w:val="sk-SK"/>
        </w:rPr>
        <w:t xml:space="preserve">4 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>(pilovanie a hobľovanie dreva /1/, výroba transportného betónu /1/, výroba ostatných výrobkov z betónu, sadry a cementu /1/, výroba kovových konštrukcií a ich častí /1/</w:t>
      </w:r>
      <w:r w:rsidR="00627F1F" w:rsidRPr="003635C7">
        <w:rPr>
          <w:rFonts w:ascii="Verdana" w:hAnsi="Verdana" w:cs="Arial"/>
          <w:sz w:val="18"/>
          <w:szCs w:val="18"/>
          <w:lang w:val="sk-SK"/>
        </w:rPr>
        <w:t>)</w:t>
      </w:r>
      <w:r w:rsidR="00B874B8" w:rsidRPr="003635C7">
        <w:rPr>
          <w:rFonts w:ascii="Verdana" w:hAnsi="Verdana" w:cs="Arial"/>
          <w:sz w:val="18"/>
          <w:szCs w:val="18"/>
          <w:lang w:val="sk-SK"/>
        </w:rPr>
        <w:t>,</w:t>
      </w:r>
      <w:r w:rsidR="00627F1F" w:rsidRPr="003635C7">
        <w:rPr>
          <w:rFonts w:ascii="Verdana" w:hAnsi="Verdana" w:cs="Arial"/>
          <w:sz w:val="18"/>
          <w:szCs w:val="18"/>
          <w:lang w:val="sk-SK"/>
        </w:rPr>
        <w:t xml:space="preserve"> v oblasti kúpy a predaja vlastných nehnuteľností (sekcia L) 1, v oblasti inžinierskych činností a poradenstva (sekcia M) 2.</w:t>
      </w:r>
    </w:p>
    <w:p w:rsidR="001E59CE" w:rsidRPr="003635C7" w:rsidRDefault="001E59CE" w:rsidP="001E59CE">
      <w:pPr>
        <w:spacing w:line="360" w:lineRule="auto"/>
        <w:jc w:val="both"/>
        <w:rPr>
          <w:b/>
          <w:lang w:val="sk-SK"/>
        </w:rPr>
      </w:pPr>
      <w:r w:rsidRPr="003635C7">
        <w:rPr>
          <w:b/>
          <w:lang w:val="sk-SK"/>
        </w:rPr>
        <w:t xml:space="preserve">Graf č. 1: Vývoj počtu vyhlásených konkurzov v sekciách* za </w:t>
      </w:r>
      <w:r w:rsidR="00E70315" w:rsidRPr="003635C7">
        <w:rPr>
          <w:b/>
          <w:lang w:val="sk-SK"/>
        </w:rPr>
        <w:t>1</w:t>
      </w:r>
      <w:r w:rsidRPr="003635C7">
        <w:rPr>
          <w:b/>
          <w:lang w:val="sk-SK"/>
        </w:rPr>
        <w:t>. Q 201</w:t>
      </w:r>
      <w:r w:rsidR="00771435" w:rsidRPr="003635C7">
        <w:rPr>
          <w:b/>
          <w:lang w:val="sk-SK"/>
        </w:rPr>
        <w:t>4</w:t>
      </w:r>
      <w:r w:rsidRPr="003635C7">
        <w:rPr>
          <w:b/>
          <w:lang w:val="sk-SK"/>
        </w:rPr>
        <w:t xml:space="preserve"> a</w:t>
      </w:r>
      <w:r w:rsidR="00F43DF4" w:rsidRPr="003635C7">
        <w:rPr>
          <w:b/>
          <w:lang w:val="sk-SK"/>
        </w:rPr>
        <w:t> </w:t>
      </w:r>
      <w:r w:rsidRPr="003635C7">
        <w:rPr>
          <w:b/>
          <w:lang w:val="sk-SK"/>
        </w:rPr>
        <w:t>201</w:t>
      </w:r>
      <w:r w:rsidR="00771435" w:rsidRPr="003635C7">
        <w:rPr>
          <w:b/>
          <w:lang w:val="sk-SK"/>
        </w:rPr>
        <w:t>5</w:t>
      </w:r>
    </w:p>
    <w:p w:rsidR="00F43DF4" w:rsidRPr="003635C7" w:rsidRDefault="00F43DF4" w:rsidP="001E59CE">
      <w:pPr>
        <w:spacing w:line="360" w:lineRule="auto"/>
        <w:jc w:val="both"/>
        <w:rPr>
          <w:b/>
          <w:lang w:val="sk-SK"/>
        </w:rPr>
      </w:pPr>
      <w:r w:rsidRPr="003635C7">
        <w:rPr>
          <w:noProof/>
          <w:lang w:val="sk-SK" w:eastAsia="sk-SK"/>
        </w:rPr>
        <w:drawing>
          <wp:inline distT="0" distB="0" distL="0" distR="0">
            <wp:extent cx="5734050" cy="2085975"/>
            <wp:effectExtent l="0" t="0" r="1905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7857" w:rsidRPr="003635C7" w:rsidRDefault="00197857" w:rsidP="00197857">
      <w:pPr>
        <w:spacing w:line="360" w:lineRule="auto"/>
        <w:jc w:val="both"/>
        <w:rPr>
          <w:rFonts w:ascii="Verdana" w:hAnsi="Verdana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 xml:space="preserve">Zdroj: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Cribis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Univerzálny register, CRIF – Slovak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Credit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Bureau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>, s.</w:t>
      </w:r>
      <w:r w:rsidR="00281A84" w:rsidRPr="003635C7">
        <w:rPr>
          <w:rFonts w:ascii="Verdana" w:hAnsi="Verdana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sz w:val="16"/>
          <w:szCs w:val="16"/>
          <w:lang w:val="sk-SK"/>
        </w:rPr>
        <w:t>r.</w:t>
      </w:r>
      <w:r w:rsidR="00281A84" w:rsidRPr="003635C7">
        <w:rPr>
          <w:rFonts w:ascii="Verdana" w:hAnsi="Verdana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sz w:val="16"/>
          <w:szCs w:val="16"/>
          <w:lang w:val="sk-SK"/>
        </w:rPr>
        <w:t>o.</w:t>
      </w:r>
    </w:p>
    <w:p w:rsidR="00341CCE" w:rsidRPr="003635C7" w:rsidRDefault="00A26485" w:rsidP="00436DDF">
      <w:pPr>
        <w:jc w:val="both"/>
        <w:rPr>
          <w:rFonts w:ascii="Verdana" w:hAnsi="Verdana"/>
          <w:color w:val="000000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>*</w:t>
      </w:r>
      <w:r w:rsidRPr="003635C7">
        <w:rPr>
          <w:rFonts w:ascii="Verdana" w:hAnsi="Verdana"/>
          <w:color w:val="000000"/>
          <w:sz w:val="16"/>
          <w:szCs w:val="16"/>
          <w:lang w:val="sk-SK"/>
        </w:rPr>
        <w:t>sekcie (zoskupenia) ekonomických činností podľa Štatistickej klasifikácie ekonomických činností: veľkoobchod a maloobchod; oprava motorových vozidiel a motocyklov (sekcia G); priemyselná výroba (sekcia C);</w:t>
      </w:r>
      <w:r w:rsidR="00341CCE" w:rsidRPr="003635C7">
        <w:rPr>
          <w:rFonts w:ascii="Verdana" w:hAnsi="Verdana"/>
          <w:color w:val="000000"/>
          <w:sz w:val="16"/>
          <w:szCs w:val="16"/>
          <w:lang w:val="sk-SK"/>
        </w:rPr>
        <w:t xml:space="preserve"> stavebníctvo (sekcia F); ubytovacie a stravovacie služby (sekcia I); činnosti v oblasti nehnuteľností (sekcia L); doprava a skladovanie (sekcia H); </w:t>
      </w:r>
      <w:r w:rsidR="000F152D" w:rsidRPr="003635C7">
        <w:rPr>
          <w:rFonts w:ascii="Verdana" w:hAnsi="Verdana"/>
          <w:color w:val="000000"/>
          <w:sz w:val="16"/>
          <w:szCs w:val="16"/>
          <w:lang w:val="sk-SK"/>
        </w:rPr>
        <w:t>administratívne a podporné služby (sekcia N); odborné, vedecké a technické činnosti (sekcia M); poľnohospodárstvo, poľovníctvo a rybolov (sekcia A);</w:t>
      </w:r>
      <w:r w:rsidR="00414914" w:rsidRPr="003635C7">
        <w:rPr>
          <w:rFonts w:ascii="Verdana" w:hAnsi="Verdana"/>
          <w:color w:val="000000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color w:val="000000"/>
          <w:sz w:val="16"/>
          <w:szCs w:val="16"/>
          <w:lang w:val="sk-SK"/>
        </w:rPr>
        <w:t>informácie a komunikácia (sekcia J</w:t>
      </w:r>
      <w:r w:rsidR="00414914" w:rsidRPr="003635C7">
        <w:rPr>
          <w:rFonts w:ascii="Verdana" w:hAnsi="Verdana"/>
          <w:color w:val="000000"/>
          <w:sz w:val="16"/>
          <w:szCs w:val="16"/>
          <w:lang w:val="sk-SK"/>
        </w:rPr>
        <w:t>);</w:t>
      </w:r>
      <w:r w:rsidR="00341CCE" w:rsidRPr="003635C7">
        <w:rPr>
          <w:rFonts w:ascii="Verdana" w:hAnsi="Verdana"/>
          <w:color w:val="000000"/>
          <w:sz w:val="16"/>
          <w:szCs w:val="16"/>
          <w:lang w:val="sk-SK"/>
        </w:rPr>
        <w:t xml:space="preserve"> dodávka vody; čistenie a odvod odpadových vôd, odpady a služby odstraňovania odpadov (sekcia E); </w:t>
      </w:r>
      <w:r w:rsidR="00414914" w:rsidRPr="003635C7">
        <w:rPr>
          <w:rFonts w:ascii="Verdana" w:hAnsi="Verdana"/>
          <w:color w:val="000000"/>
          <w:sz w:val="16"/>
          <w:szCs w:val="16"/>
          <w:lang w:val="sk-SK"/>
        </w:rPr>
        <w:t xml:space="preserve">zdravotníctvo a sociálna pomoc (sekcia Q); </w:t>
      </w:r>
      <w:r w:rsidR="00341CCE" w:rsidRPr="003635C7">
        <w:rPr>
          <w:rFonts w:ascii="Verdana" w:hAnsi="Verdana"/>
          <w:color w:val="000000"/>
          <w:sz w:val="16"/>
          <w:szCs w:val="16"/>
          <w:lang w:val="sk-SK"/>
        </w:rPr>
        <w:t>umenie, zábava a rekreácia (sekcia R);</w:t>
      </w:r>
      <w:r w:rsidR="00341CCE" w:rsidRPr="003635C7">
        <w:rPr>
          <w:rFonts w:ascii="Verdana" w:hAnsi="Verdana"/>
          <w:sz w:val="16"/>
          <w:szCs w:val="16"/>
          <w:lang w:val="sk-SK"/>
        </w:rPr>
        <w:t xml:space="preserve"> ostatné činnosti (sekcia S);</w:t>
      </w:r>
    </w:p>
    <w:p w:rsidR="00341CCE" w:rsidRPr="003635C7" w:rsidRDefault="00414914" w:rsidP="00436DDF">
      <w:pPr>
        <w:jc w:val="both"/>
        <w:rPr>
          <w:rFonts w:ascii="Verdana" w:hAnsi="Verdana"/>
          <w:color w:val="000000"/>
          <w:sz w:val="16"/>
          <w:szCs w:val="16"/>
          <w:lang w:val="sk-SK"/>
        </w:rPr>
      </w:pPr>
      <w:r w:rsidRPr="003635C7">
        <w:rPr>
          <w:rFonts w:ascii="Verdana" w:hAnsi="Verdana"/>
          <w:color w:val="000000"/>
          <w:sz w:val="16"/>
          <w:szCs w:val="16"/>
          <w:lang w:val="sk-SK"/>
        </w:rPr>
        <w:lastRenderedPageBreak/>
        <w:t>finančné a poisťovacie činnosti (sekcia K)</w:t>
      </w:r>
      <w:r w:rsidR="00341CCE" w:rsidRPr="003635C7">
        <w:rPr>
          <w:rFonts w:ascii="Verdana" w:hAnsi="Verdana"/>
          <w:color w:val="000000"/>
          <w:sz w:val="16"/>
          <w:szCs w:val="16"/>
          <w:lang w:val="sk-SK"/>
        </w:rPr>
        <w:t>.</w:t>
      </w:r>
      <w:r w:rsidRPr="003635C7">
        <w:rPr>
          <w:rFonts w:ascii="Verdana" w:hAnsi="Verdana"/>
          <w:color w:val="000000"/>
          <w:sz w:val="16"/>
          <w:szCs w:val="16"/>
          <w:lang w:val="sk-SK"/>
        </w:rPr>
        <w:t xml:space="preserve"> </w:t>
      </w:r>
    </w:p>
    <w:p w:rsidR="0061422E" w:rsidRPr="003635C7" w:rsidRDefault="006E79AD" w:rsidP="003849B4">
      <w:pPr>
        <w:spacing w:after="120"/>
        <w:jc w:val="both"/>
        <w:rPr>
          <w:rFonts w:ascii="Verdana" w:hAnsi="Verdana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>V</w:t>
      </w:r>
      <w:r w:rsidR="00341CCE" w:rsidRPr="003635C7">
        <w:rPr>
          <w:rFonts w:ascii="Verdana" w:hAnsi="Verdana"/>
          <w:sz w:val="16"/>
          <w:szCs w:val="16"/>
          <w:lang w:val="sk-SK"/>
        </w:rPr>
        <w:t> šiestich</w:t>
      </w:r>
      <w:r w:rsidRPr="003635C7">
        <w:rPr>
          <w:rFonts w:ascii="Verdana" w:hAnsi="Verdana"/>
          <w:sz w:val="16"/>
          <w:szCs w:val="16"/>
          <w:lang w:val="sk-SK"/>
        </w:rPr>
        <w:t xml:space="preserve"> sekciách ekonomických činností nebol v obidvoch porovnávaných štvrťrokoch súčasne vyhlásený ani </w:t>
      </w:r>
      <w:r w:rsidR="00984B32" w:rsidRPr="003635C7">
        <w:rPr>
          <w:rFonts w:ascii="Verdana" w:hAnsi="Verdana"/>
          <w:sz w:val="16"/>
          <w:szCs w:val="16"/>
          <w:lang w:val="sk-SK"/>
        </w:rPr>
        <w:t>1</w:t>
      </w:r>
      <w:r w:rsidRPr="003635C7">
        <w:rPr>
          <w:rFonts w:ascii="Verdana" w:hAnsi="Verdana"/>
          <w:sz w:val="16"/>
          <w:szCs w:val="16"/>
          <w:lang w:val="sk-SK"/>
        </w:rPr>
        <w:t xml:space="preserve"> konkurz: </w:t>
      </w:r>
      <w:r w:rsidR="00341CCE" w:rsidRPr="003635C7">
        <w:rPr>
          <w:rFonts w:ascii="Verdana" w:hAnsi="Verdana"/>
          <w:color w:val="000000"/>
          <w:sz w:val="16"/>
          <w:szCs w:val="16"/>
          <w:lang w:val="sk-SK"/>
        </w:rPr>
        <w:t xml:space="preserve">ťažba a dobývanie (sekcia B); dodávka elektriny, plynu, pary a studeného vzduchu (sekcia D); </w:t>
      </w:r>
      <w:r w:rsidR="0061422E" w:rsidRPr="003635C7">
        <w:rPr>
          <w:rFonts w:ascii="Verdana" w:hAnsi="Verdana"/>
          <w:sz w:val="16"/>
          <w:szCs w:val="16"/>
          <w:lang w:val="sk-SK"/>
        </w:rPr>
        <w:t xml:space="preserve">verejná správa a obrana; povinné sociálne zabezpečenie (sekcia O); vzdelávanie (sekcia P); činnosti domácností ako zamestnávateľov; nediferencované činnosti v domácnostiach produkujúce tovary a služby na vlastné použitie (sekcia T) a činnosti </w:t>
      </w:r>
      <w:proofErr w:type="spellStart"/>
      <w:r w:rsidR="0061422E" w:rsidRPr="003635C7">
        <w:rPr>
          <w:rFonts w:ascii="Verdana" w:hAnsi="Verdana"/>
          <w:sz w:val="16"/>
          <w:szCs w:val="16"/>
          <w:lang w:val="sk-SK"/>
        </w:rPr>
        <w:t>extrateritoriálnych</w:t>
      </w:r>
      <w:proofErr w:type="spellEnd"/>
      <w:r w:rsidR="0061422E" w:rsidRPr="003635C7">
        <w:rPr>
          <w:rFonts w:ascii="Verdana" w:hAnsi="Verdana"/>
          <w:sz w:val="16"/>
          <w:szCs w:val="16"/>
          <w:lang w:val="sk-SK"/>
        </w:rPr>
        <w:t xml:space="preserve"> organizácií a združení (sekcia U).</w:t>
      </w:r>
    </w:p>
    <w:p w:rsidR="00341CCE" w:rsidRPr="003635C7" w:rsidRDefault="00341CCE" w:rsidP="00341CCE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>Z hľadiska podielu počtu vyhlásených konkurzov k počtu subjektov pôsobiacich v danom odvetví bol</w:t>
      </w:r>
      <w:r w:rsidR="0023340D" w:rsidRPr="003635C7">
        <w:rPr>
          <w:rFonts w:ascii="Verdana" w:hAnsi="Verdana" w:cs="Arial"/>
          <w:sz w:val="18"/>
          <w:szCs w:val="18"/>
          <w:lang w:val="sk-SK"/>
        </w:rPr>
        <w:t>a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najrizikovejším </w:t>
      </w:r>
      <w:r w:rsidR="0023340D" w:rsidRPr="003635C7">
        <w:rPr>
          <w:rFonts w:ascii="Verdana" w:hAnsi="Verdana" w:cs="Arial"/>
          <w:sz w:val="18"/>
          <w:szCs w:val="18"/>
          <w:lang w:val="sk-SK"/>
        </w:rPr>
        <w:t>odvetvím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v</w:t>
      </w:r>
      <w:r w:rsidR="00CD01FE" w:rsidRPr="003635C7">
        <w:rPr>
          <w:rFonts w:ascii="Verdana" w:hAnsi="Verdana" w:cs="Arial"/>
          <w:sz w:val="18"/>
          <w:szCs w:val="18"/>
          <w:lang w:val="sk-SK"/>
        </w:rPr>
        <w:t xml:space="preserve"> obidvoch porovnávaných štvrťrokoch dodávka vody; čistenie a odvod odpadových vôd, odpady a služby odstraňovania odpadov (sekcia E). Poradie ostatných sekcií sa s výnimkou priemyselnej výroby (sekcia C – piata v poradí) medziročne odlišovalo a bolo rozdielne 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aj od</w:t>
      </w:r>
      <w:r w:rsidR="00274F3F" w:rsidRPr="003635C7">
        <w:rPr>
          <w:rFonts w:ascii="Verdana" w:hAnsi="Verdana" w:cs="Arial"/>
          <w:sz w:val="18"/>
          <w:szCs w:val="18"/>
          <w:lang w:val="sk-SK"/>
        </w:rPr>
        <w:t xml:space="preserve"> ich</w:t>
      </w:r>
      <w:r w:rsidR="00CD01FE" w:rsidRPr="003635C7">
        <w:rPr>
          <w:rFonts w:ascii="Verdana" w:hAnsi="Verdana" w:cs="Arial"/>
          <w:sz w:val="18"/>
          <w:szCs w:val="18"/>
          <w:lang w:val="sk-SK"/>
        </w:rPr>
        <w:t> porad</w:t>
      </w:r>
      <w:r w:rsidR="007A5E7D" w:rsidRPr="003635C7">
        <w:rPr>
          <w:rFonts w:ascii="Verdana" w:hAnsi="Verdana" w:cs="Arial"/>
          <w:sz w:val="18"/>
          <w:szCs w:val="18"/>
          <w:lang w:val="sk-SK"/>
        </w:rPr>
        <w:t>ia</w:t>
      </w:r>
      <w:r w:rsidR="00CD01FE" w:rsidRPr="003635C7">
        <w:rPr>
          <w:rFonts w:ascii="Verdana" w:hAnsi="Verdana" w:cs="Arial"/>
          <w:sz w:val="18"/>
          <w:szCs w:val="18"/>
          <w:lang w:val="sk-SK"/>
        </w:rPr>
        <w:t xml:space="preserve"> podľa počtu.</w:t>
      </w:r>
    </w:p>
    <w:p w:rsidR="0029039B" w:rsidRPr="003635C7" w:rsidRDefault="002B4A26" w:rsidP="002B4A26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 xml:space="preserve">V rámci regiónov sme v obidvoch porovnávaných </w:t>
      </w:r>
      <w:r w:rsidR="004B3FF2" w:rsidRPr="003635C7">
        <w:rPr>
          <w:rFonts w:ascii="Verdana" w:hAnsi="Verdana" w:cs="Arial"/>
          <w:sz w:val="18"/>
          <w:szCs w:val="18"/>
          <w:lang w:val="sk-SK"/>
        </w:rPr>
        <w:t>obdobiach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zaznamenali 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>výrazné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rozdiely vo vývoji počtu vyhlásených konkurzov (graf č. 2)</w:t>
      </w:r>
      <w:r w:rsidR="004B3FF2" w:rsidRPr="003635C7">
        <w:rPr>
          <w:rFonts w:ascii="Verdana" w:hAnsi="Verdana" w:cs="Arial"/>
          <w:sz w:val="18"/>
          <w:szCs w:val="18"/>
          <w:lang w:val="sk-SK"/>
        </w:rPr>
        <w:t>. I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 xml:space="preserve">ch poradie </w:t>
      </w:r>
      <w:r w:rsidR="004B3FF2" w:rsidRPr="003635C7">
        <w:rPr>
          <w:rFonts w:ascii="Verdana" w:hAnsi="Verdana" w:cs="Arial"/>
          <w:sz w:val="18"/>
          <w:szCs w:val="18"/>
          <w:lang w:val="sk-SK"/>
        </w:rPr>
        <w:t xml:space="preserve">sa 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>s výnimkou</w:t>
      </w:r>
      <w:r w:rsidR="004B3FF2" w:rsidRPr="003635C7">
        <w:rPr>
          <w:rFonts w:ascii="Verdana" w:hAnsi="Verdana" w:cs="Arial"/>
          <w:sz w:val="18"/>
          <w:szCs w:val="18"/>
          <w:lang w:val="sk-SK"/>
        </w:rPr>
        <w:t> Prešovsk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>ého</w:t>
      </w:r>
      <w:r w:rsidR="004B3FF2" w:rsidRPr="003635C7">
        <w:rPr>
          <w:rFonts w:ascii="Verdana" w:hAnsi="Verdana" w:cs="Arial"/>
          <w:sz w:val="18"/>
          <w:szCs w:val="18"/>
          <w:lang w:val="sk-SK"/>
        </w:rPr>
        <w:t xml:space="preserve"> kraj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>a</w:t>
      </w:r>
      <w:r w:rsidR="004B3FF2" w:rsidRPr="003635C7">
        <w:rPr>
          <w:rFonts w:ascii="Verdana" w:hAnsi="Verdana" w:cs="Arial"/>
          <w:sz w:val="18"/>
          <w:szCs w:val="18"/>
          <w:lang w:val="sk-SK"/>
        </w:rPr>
        <w:t xml:space="preserve"> (štvrtý v poradí)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 xml:space="preserve"> medziročne zmenilo</w:t>
      </w:r>
      <w:r w:rsidR="006F53FC" w:rsidRPr="003635C7">
        <w:rPr>
          <w:rFonts w:ascii="Verdana" w:hAnsi="Verdana" w:cs="Arial"/>
          <w:sz w:val="18"/>
          <w:szCs w:val="18"/>
          <w:lang w:val="sk-SK"/>
        </w:rPr>
        <w:t xml:space="preserve">. V porovnaní s prvým štvrťrokom 2014, kedy bolo najviac konkurzov vyhlásených v Košickom kraji, sme ich ako vo väčšine analyzovaných období zaznamenali 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 xml:space="preserve">v tomto roku </w:t>
      </w:r>
      <w:r w:rsidR="006F53FC" w:rsidRPr="003635C7">
        <w:rPr>
          <w:rFonts w:ascii="Verdana" w:hAnsi="Verdana" w:cs="Arial"/>
          <w:sz w:val="18"/>
          <w:szCs w:val="18"/>
          <w:lang w:val="sk-SK"/>
        </w:rPr>
        <w:t>najviac v Bratislavskom kraji (18), v ktorom zároveň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podniká najväčší počet právnických osôb a fyzických osôb – živnostníkov spolu</w:t>
      </w:r>
      <w:r w:rsidR="006F53FC" w:rsidRPr="003635C7">
        <w:rPr>
          <w:rFonts w:ascii="Verdana" w:hAnsi="Verdana" w:cs="Arial"/>
          <w:sz w:val="18"/>
          <w:szCs w:val="18"/>
          <w:lang w:val="sk-SK"/>
        </w:rPr>
        <w:t xml:space="preserve">. Na rozdiel od tendencie k medziročnému poklesu počtu vyhlásených konkurzov 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>v</w:t>
      </w:r>
      <w:r w:rsidR="006F53FC" w:rsidRPr="003635C7">
        <w:rPr>
          <w:rFonts w:ascii="Verdana" w:hAnsi="Verdana" w:cs="Arial"/>
          <w:sz w:val="18"/>
          <w:szCs w:val="18"/>
          <w:lang w:val="sk-SK"/>
        </w:rPr>
        <w:t xml:space="preserve"> SR celkom 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>sa ich počet zvýšil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 xml:space="preserve"> o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> 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>9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 xml:space="preserve"> (zo 4 na 13)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 xml:space="preserve">, t. j. o 225 % </w:t>
      </w:r>
      <w:r w:rsidR="006F53FC" w:rsidRPr="003635C7">
        <w:rPr>
          <w:rFonts w:ascii="Verdana" w:hAnsi="Verdana" w:cs="Arial"/>
          <w:sz w:val="18"/>
          <w:szCs w:val="18"/>
          <w:lang w:val="sk-SK"/>
        </w:rPr>
        <w:t>v Trnavskom kraji, v ktorom ich bolo v rovnakom období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 xml:space="preserve"> predchádzajúceho roku </w:t>
      </w:r>
      <w:r w:rsidR="001C587D" w:rsidRPr="003635C7">
        <w:rPr>
          <w:rFonts w:ascii="Verdana" w:hAnsi="Verdana" w:cs="Arial"/>
          <w:sz w:val="18"/>
          <w:szCs w:val="18"/>
          <w:lang w:val="sk-SK"/>
        </w:rPr>
        <w:t xml:space="preserve">vyhlásených 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 xml:space="preserve">najmenej. Medziročne vzrástol o 2 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 xml:space="preserve">aj 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 xml:space="preserve">počet </w:t>
      </w:r>
      <w:r w:rsidR="00A8412E" w:rsidRPr="003635C7">
        <w:rPr>
          <w:rFonts w:ascii="Verdana" w:hAnsi="Verdana" w:cs="Arial"/>
          <w:sz w:val="18"/>
          <w:szCs w:val="18"/>
          <w:lang w:val="sk-SK"/>
        </w:rPr>
        <w:t xml:space="preserve">vyhlásených </w:t>
      </w:r>
      <w:r w:rsidR="0029039B" w:rsidRPr="003635C7">
        <w:rPr>
          <w:rFonts w:ascii="Verdana" w:hAnsi="Verdana" w:cs="Arial"/>
          <w:sz w:val="18"/>
          <w:szCs w:val="18"/>
          <w:lang w:val="sk-SK"/>
        </w:rPr>
        <w:t>bankrotov v Trenčianskom kraji. Najmenej konkurzov (po 7) bolo v prvom štvrťroku 2015 vyhlásených v Trenčianskom a Nitrianskom kraji.</w:t>
      </w:r>
    </w:p>
    <w:p w:rsidR="000C2A46" w:rsidRPr="003635C7" w:rsidRDefault="000C2A46" w:rsidP="00BF31A5">
      <w:pPr>
        <w:spacing w:line="360" w:lineRule="auto"/>
        <w:jc w:val="both"/>
        <w:rPr>
          <w:b/>
          <w:lang w:val="sk-SK"/>
        </w:rPr>
      </w:pPr>
      <w:r w:rsidRPr="003635C7">
        <w:rPr>
          <w:b/>
          <w:lang w:val="sk-SK"/>
        </w:rPr>
        <w:t xml:space="preserve">Graf č. </w:t>
      </w:r>
      <w:r w:rsidR="00CF3333" w:rsidRPr="003635C7">
        <w:rPr>
          <w:b/>
          <w:lang w:val="sk-SK"/>
        </w:rPr>
        <w:t>2</w:t>
      </w:r>
      <w:r w:rsidRPr="003635C7">
        <w:rPr>
          <w:b/>
          <w:lang w:val="sk-SK"/>
        </w:rPr>
        <w:t xml:space="preserve">: Vývoj počtu vyhlásených konkurzov v krajoch* za </w:t>
      </w:r>
      <w:r w:rsidR="00281A84" w:rsidRPr="003635C7">
        <w:rPr>
          <w:b/>
          <w:lang w:val="sk-SK"/>
        </w:rPr>
        <w:t>1</w:t>
      </w:r>
      <w:r w:rsidRPr="003635C7">
        <w:rPr>
          <w:b/>
          <w:lang w:val="sk-SK"/>
        </w:rPr>
        <w:t>. Q 201</w:t>
      </w:r>
      <w:r w:rsidR="0029039B" w:rsidRPr="003635C7">
        <w:rPr>
          <w:b/>
          <w:lang w:val="sk-SK"/>
        </w:rPr>
        <w:t>4</w:t>
      </w:r>
      <w:r w:rsidRPr="003635C7">
        <w:rPr>
          <w:b/>
          <w:lang w:val="sk-SK"/>
        </w:rPr>
        <w:t xml:space="preserve"> a</w:t>
      </w:r>
      <w:r w:rsidR="004B3FF2" w:rsidRPr="003635C7">
        <w:rPr>
          <w:b/>
          <w:lang w:val="sk-SK"/>
        </w:rPr>
        <w:t> </w:t>
      </w:r>
      <w:r w:rsidRPr="003635C7">
        <w:rPr>
          <w:b/>
          <w:lang w:val="sk-SK"/>
        </w:rPr>
        <w:t>201</w:t>
      </w:r>
      <w:r w:rsidR="0029039B" w:rsidRPr="003635C7">
        <w:rPr>
          <w:b/>
          <w:lang w:val="sk-SK"/>
        </w:rPr>
        <w:t>5</w:t>
      </w:r>
    </w:p>
    <w:p w:rsidR="004B3FF2" w:rsidRPr="003635C7" w:rsidRDefault="004B3FF2" w:rsidP="00BF31A5">
      <w:pPr>
        <w:spacing w:line="360" w:lineRule="auto"/>
        <w:jc w:val="both"/>
        <w:rPr>
          <w:b/>
          <w:lang w:val="sk-SK"/>
        </w:rPr>
      </w:pPr>
      <w:r w:rsidRPr="003635C7">
        <w:rPr>
          <w:noProof/>
          <w:lang w:val="sk-SK" w:eastAsia="sk-SK"/>
        </w:rPr>
        <w:drawing>
          <wp:inline distT="0" distB="0" distL="0" distR="0">
            <wp:extent cx="5762625" cy="1771650"/>
            <wp:effectExtent l="0" t="0" r="9525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9C4" w:rsidRPr="003635C7" w:rsidRDefault="00B069C4" w:rsidP="00B069C4">
      <w:pPr>
        <w:spacing w:line="360" w:lineRule="auto"/>
        <w:jc w:val="both"/>
        <w:rPr>
          <w:rFonts w:ascii="Verdana" w:hAnsi="Verdana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 xml:space="preserve">Zdroj: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Cribis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Univerzálny register, CRIF – Slovak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Credit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Bureau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>, s.</w:t>
      </w:r>
      <w:r w:rsidR="00D80936" w:rsidRPr="003635C7">
        <w:rPr>
          <w:rFonts w:ascii="Verdana" w:hAnsi="Verdana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sz w:val="16"/>
          <w:szCs w:val="16"/>
          <w:lang w:val="sk-SK"/>
        </w:rPr>
        <w:t>r.</w:t>
      </w:r>
      <w:r w:rsidR="00D80936" w:rsidRPr="003635C7">
        <w:rPr>
          <w:rFonts w:ascii="Verdana" w:hAnsi="Verdana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sz w:val="16"/>
          <w:szCs w:val="16"/>
          <w:lang w:val="sk-SK"/>
        </w:rPr>
        <w:t>o.</w:t>
      </w:r>
    </w:p>
    <w:p w:rsidR="00B069C4" w:rsidRPr="003635C7" w:rsidRDefault="00B069C4" w:rsidP="00BF31A5">
      <w:pPr>
        <w:jc w:val="both"/>
        <w:rPr>
          <w:color w:val="000000"/>
          <w:sz w:val="20"/>
          <w:lang w:val="sk-SK"/>
        </w:rPr>
      </w:pPr>
      <w:r w:rsidRPr="003635C7">
        <w:rPr>
          <w:sz w:val="20"/>
          <w:lang w:val="sk-SK"/>
        </w:rPr>
        <w:t>*</w:t>
      </w:r>
      <w:r w:rsidRPr="003635C7">
        <w:rPr>
          <w:color w:val="000000"/>
          <w:sz w:val="20"/>
          <w:lang w:val="sk-SK"/>
        </w:rPr>
        <w:t xml:space="preserve">klasifikácia krajov: </w:t>
      </w:r>
      <w:r w:rsidR="0029039B" w:rsidRPr="003635C7">
        <w:rPr>
          <w:color w:val="000000"/>
          <w:sz w:val="20"/>
          <w:lang w:val="sk-SK"/>
        </w:rPr>
        <w:t xml:space="preserve">Bratislavský (BL), </w:t>
      </w:r>
      <w:r w:rsidR="00281A84" w:rsidRPr="003635C7">
        <w:rPr>
          <w:color w:val="000000"/>
          <w:sz w:val="20"/>
          <w:lang w:val="sk-SK"/>
        </w:rPr>
        <w:t xml:space="preserve">Košický (KI), </w:t>
      </w:r>
      <w:r w:rsidR="0029039B" w:rsidRPr="003635C7">
        <w:rPr>
          <w:color w:val="000000"/>
          <w:sz w:val="20"/>
          <w:lang w:val="sk-SK"/>
        </w:rPr>
        <w:t>Žilinský (ZI),</w:t>
      </w:r>
      <w:r w:rsidR="004B3FF2" w:rsidRPr="003635C7">
        <w:rPr>
          <w:color w:val="000000"/>
          <w:sz w:val="20"/>
          <w:lang w:val="sk-SK"/>
        </w:rPr>
        <w:t xml:space="preserve"> Prešovský (PV), </w:t>
      </w:r>
      <w:r w:rsidR="0029039B" w:rsidRPr="003635C7">
        <w:rPr>
          <w:color w:val="000000"/>
          <w:sz w:val="20"/>
          <w:lang w:val="sk-SK"/>
        </w:rPr>
        <w:t xml:space="preserve">Trnavský (TA), </w:t>
      </w:r>
      <w:r w:rsidR="00281A84" w:rsidRPr="003635C7">
        <w:rPr>
          <w:color w:val="000000"/>
          <w:sz w:val="20"/>
          <w:lang w:val="sk-SK"/>
        </w:rPr>
        <w:t xml:space="preserve">Banskobystrický (BC), </w:t>
      </w:r>
      <w:r w:rsidR="0029039B" w:rsidRPr="003635C7">
        <w:rPr>
          <w:color w:val="000000"/>
          <w:sz w:val="20"/>
          <w:lang w:val="sk-SK"/>
        </w:rPr>
        <w:t>Nitriansky (NI)</w:t>
      </w:r>
      <w:r w:rsidR="00C1498C" w:rsidRPr="003635C7">
        <w:rPr>
          <w:color w:val="000000"/>
          <w:sz w:val="20"/>
          <w:lang w:val="sk-SK"/>
        </w:rPr>
        <w:t>, Trenčiansky kraj (TC)</w:t>
      </w:r>
      <w:r w:rsidR="0029039B" w:rsidRPr="003635C7">
        <w:rPr>
          <w:color w:val="000000"/>
          <w:sz w:val="20"/>
          <w:lang w:val="sk-SK"/>
        </w:rPr>
        <w:t>.</w:t>
      </w:r>
    </w:p>
    <w:p w:rsidR="001E59CE" w:rsidRPr="003635C7" w:rsidRDefault="001E59CE" w:rsidP="00586B30">
      <w:pPr>
        <w:spacing w:after="120"/>
        <w:jc w:val="both"/>
        <w:rPr>
          <w:lang w:val="sk-SK"/>
        </w:rPr>
      </w:pPr>
    </w:p>
    <w:p w:rsidR="00B34852" w:rsidRPr="003635C7" w:rsidRDefault="00B34852" w:rsidP="00B34852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 xml:space="preserve">Z hľadiska podielu </w:t>
      </w:r>
      <w:r w:rsidR="00660C67" w:rsidRPr="003635C7">
        <w:rPr>
          <w:rFonts w:ascii="Verdana" w:hAnsi="Verdana" w:cs="Arial"/>
          <w:sz w:val="18"/>
          <w:szCs w:val="18"/>
          <w:lang w:val="sk-SK"/>
        </w:rPr>
        <w:t xml:space="preserve">počtu 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vyhlásených konkurzov k počtu subjektov pôsobiacich v danom kraji bolo v obidvoch porovnávaných štvrťrokoch poradie </w:t>
      </w:r>
      <w:r w:rsidR="00ED6053" w:rsidRPr="003635C7">
        <w:rPr>
          <w:rFonts w:ascii="Verdana" w:hAnsi="Verdana" w:cs="Arial"/>
          <w:sz w:val="18"/>
          <w:szCs w:val="18"/>
          <w:lang w:val="sk-SK"/>
        </w:rPr>
        <w:t>štyroch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krajov </w:t>
      </w:r>
      <w:r w:rsidR="00ED6053" w:rsidRPr="003635C7">
        <w:rPr>
          <w:rFonts w:ascii="Verdana" w:hAnsi="Verdana" w:cs="Arial"/>
          <w:sz w:val="18"/>
          <w:szCs w:val="18"/>
          <w:lang w:val="sk-SK"/>
        </w:rPr>
        <w:t>rovnaké</w:t>
      </w:r>
      <w:r w:rsidRPr="003635C7">
        <w:rPr>
          <w:rFonts w:ascii="Verdana" w:hAnsi="Verdana" w:cs="Arial"/>
          <w:sz w:val="18"/>
          <w:szCs w:val="18"/>
          <w:lang w:val="sk-SK"/>
        </w:rPr>
        <w:t>. Najrizikovejším v obidvoch obdobiach bol Košický kraj, svoje poradie oproti prvému štvrťroku 2014 nezmenili</w:t>
      </w:r>
      <w:r w:rsidR="00ED6053" w:rsidRPr="003635C7">
        <w:rPr>
          <w:rFonts w:ascii="Verdana" w:hAnsi="Verdana" w:cs="Arial"/>
          <w:sz w:val="18"/>
          <w:szCs w:val="18"/>
          <w:lang w:val="sk-SK"/>
        </w:rPr>
        <w:t xml:space="preserve"> ani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 tretí </w:t>
      </w:r>
      <w:r w:rsidR="00ED6053" w:rsidRPr="003635C7">
        <w:rPr>
          <w:rFonts w:ascii="Verdana" w:hAnsi="Verdana" w:cs="Arial"/>
          <w:sz w:val="18"/>
          <w:szCs w:val="18"/>
          <w:lang w:val="sk-SK"/>
        </w:rPr>
        <w:t xml:space="preserve">Prešovský kraj, štvrtý 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Žilinský kraj a siedmy Trenčiansky kraj. Najmenší podiel vyhlásených konkurzov </w:t>
      </w:r>
      <w:r w:rsidR="00ED6053" w:rsidRPr="003635C7">
        <w:rPr>
          <w:rFonts w:ascii="Verdana" w:hAnsi="Verdana" w:cs="Arial"/>
          <w:sz w:val="18"/>
          <w:szCs w:val="18"/>
          <w:lang w:val="sk-SK"/>
        </w:rPr>
        <w:t xml:space="preserve">bol </w:t>
      </w:r>
      <w:r w:rsidRPr="003635C7">
        <w:rPr>
          <w:rFonts w:ascii="Verdana" w:hAnsi="Verdana" w:cs="Arial"/>
          <w:sz w:val="18"/>
          <w:szCs w:val="18"/>
          <w:lang w:val="sk-SK"/>
        </w:rPr>
        <w:t>v prvom štvrťroku 2015 v Nitrianskom kraji a rok predtým v Trnavskom kraji.</w:t>
      </w:r>
    </w:p>
    <w:p w:rsidR="00B34852" w:rsidRPr="003635C7" w:rsidRDefault="00B34852" w:rsidP="00586B30">
      <w:pPr>
        <w:spacing w:after="120"/>
        <w:jc w:val="both"/>
        <w:rPr>
          <w:lang w:val="sk-SK"/>
        </w:rPr>
      </w:pPr>
    </w:p>
    <w:p w:rsidR="00B00037" w:rsidRPr="003635C7" w:rsidRDefault="00B00037" w:rsidP="00CF02EB">
      <w:pPr>
        <w:spacing w:after="120"/>
        <w:jc w:val="both"/>
        <w:rPr>
          <w:rFonts w:ascii="Verdana" w:hAnsi="Verdana" w:cs="Arial"/>
          <w:b/>
          <w:szCs w:val="22"/>
          <w:lang w:val="sk-SK"/>
        </w:rPr>
      </w:pPr>
      <w:r w:rsidRPr="003635C7">
        <w:rPr>
          <w:rFonts w:ascii="Verdana" w:hAnsi="Verdana" w:cs="Arial"/>
          <w:b/>
          <w:szCs w:val="22"/>
          <w:lang w:val="sk-SK"/>
        </w:rPr>
        <w:t>Vývoj počtu a podielu povolených reštrukturalizácií</w:t>
      </w:r>
      <w:r w:rsidR="00CF02EB" w:rsidRPr="003635C7">
        <w:rPr>
          <w:rFonts w:ascii="Verdana" w:hAnsi="Verdana" w:cs="Arial"/>
          <w:b/>
          <w:szCs w:val="22"/>
          <w:lang w:val="sk-SK"/>
        </w:rPr>
        <w:t>.</w:t>
      </w:r>
    </w:p>
    <w:p w:rsidR="005D60E2" w:rsidRPr="003635C7" w:rsidRDefault="0002653A" w:rsidP="009B41A5">
      <w:pPr>
        <w:spacing w:after="120"/>
        <w:jc w:val="both"/>
        <w:rPr>
          <w:rFonts w:ascii="Verdana" w:eastAsia="Times New Roman" w:hAnsi="Verdana" w:cs="Arial"/>
          <w:sz w:val="18"/>
          <w:szCs w:val="18"/>
          <w:lang w:val="sk-SK" w:eastAsia="ar-SA"/>
        </w:rPr>
      </w:pP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V </w:t>
      </w:r>
      <w:r w:rsidR="009B0761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prvom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štvrťroku 201</w:t>
      </w:r>
      <w:r w:rsidR="00B3485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5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bolo povolených </w:t>
      </w:r>
      <w:r w:rsidR="00B3485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19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reštrukturalizácií, čo je o </w:t>
      </w:r>
      <w:r w:rsidR="00B3485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8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, t. j. o</w:t>
      </w:r>
      <w:r w:rsidR="00BE371A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="008C0C99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29,63</w:t>
      </w:r>
      <w:r w:rsidR="005D60E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% </w:t>
      </w:r>
      <w:r w:rsidR="008C0C99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menej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ako v</w:t>
      </w:r>
      <w:r w:rsidR="005D60E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 prvom š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tvrťroku 201</w:t>
      </w:r>
      <w:r w:rsidR="008C0C99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4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(</w:t>
      </w:r>
      <w:r w:rsidR="005D60E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2</w:t>
      </w:r>
      <w:r w:rsidR="008C0C99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7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povolených reštrukturalizácií)</w:t>
      </w:r>
      <w:r w:rsidR="008C0C99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.</w:t>
      </w:r>
      <w:r w:rsidR="005D60E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="008C0C99" w:rsidRPr="003635C7">
        <w:rPr>
          <w:rFonts w:ascii="Verdana" w:hAnsi="Verdana" w:cs="Arial"/>
          <w:sz w:val="18"/>
          <w:szCs w:val="18"/>
          <w:lang w:val="sk-SK"/>
        </w:rPr>
        <w:t xml:space="preserve">Nižšie počty reštrukturalizácií boli v prvom kvartáli za celé obdobie, počas ktorého spoločnosť CRIF  - Slovak </w:t>
      </w:r>
      <w:proofErr w:type="spellStart"/>
      <w:r w:rsidR="008C0C99" w:rsidRPr="003635C7">
        <w:rPr>
          <w:rFonts w:ascii="Verdana" w:hAnsi="Verdana" w:cs="Arial"/>
          <w:sz w:val="18"/>
          <w:szCs w:val="18"/>
          <w:lang w:val="sk-SK"/>
        </w:rPr>
        <w:t>Credit</w:t>
      </w:r>
      <w:proofErr w:type="spellEnd"/>
      <w:r w:rsidR="008C0C99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proofErr w:type="spellStart"/>
      <w:r w:rsidR="008C0C99" w:rsidRPr="003635C7">
        <w:rPr>
          <w:rFonts w:ascii="Verdana" w:hAnsi="Verdana" w:cs="Arial"/>
          <w:sz w:val="18"/>
          <w:szCs w:val="18"/>
          <w:lang w:val="sk-SK"/>
        </w:rPr>
        <w:t>Bureau</w:t>
      </w:r>
      <w:proofErr w:type="spellEnd"/>
      <w:r w:rsidR="008C0C99" w:rsidRPr="003635C7">
        <w:rPr>
          <w:rFonts w:ascii="Verdana" w:hAnsi="Verdana" w:cs="Arial"/>
          <w:sz w:val="18"/>
          <w:szCs w:val="18"/>
          <w:lang w:val="sk-SK"/>
        </w:rPr>
        <w:t xml:space="preserve">, s. r. o. analyzuje vývoj reštrukturalizácií, t. j. od roku 2006, vyhlásené iba </w:t>
      </w:r>
      <w:r w:rsidR="00AF6D04" w:rsidRPr="003635C7">
        <w:rPr>
          <w:rFonts w:ascii="Verdana" w:hAnsi="Verdana" w:cs="Arial"/>
          <w:sz w:val="18"/>
          <w:szCs w:val="18"/>
          <w:lang w:val="sk-SK"/>
        </w:rPr>
        <w:t>pred rokom</w:t>
      </w:r>
      <w:r w:rsidR="008C0C99" w:rsidRPr="003635C7">
        <w:rPr>
          <w:rFonts w:ascii="Verdana" w:hAnsi="Verdana" w:cs="Arial"/>
          <w:sz w:val="18"/>
          <w:szCs w:val="18"/>
          <w:lang w:val="sk-SK"/>
        </w:rPr>
        <w:t xml:space="preserve"> 201</w:t>
      </w:r>
      <w:r w:rsidR="00AF6D04" w:rsidRPr="003635C7">
        <w:rPr>
          <w:rFonts w:ascii="Verdana" w:hAnsi="Verdana" w:cs="Arial"/>
          <w:sz w:val="18"/>
          <w:szCs w:val="18"/>
          <w:lang w:val="sk-SK"/>
        </w:rPr>
        <w:t>1</w:t>
      </w:r>
      <w:r w:rsidR="008C0C99" w:rsidRPr="003635C7">
        <w:rPr>
          <w:rFonts w:ascii="Verdana" w:hAnsi="Verdana" w:cs="Arial"/>
          <w:sz w:val="18"/>
          <w:szCs w:val="18"/>
          <w:lang w:val="sk-SK"/>
        </w:rPr>
        <w:t>.</w:t>
      </w:r>
    </w:p>
    <w:p w:rsidR="003313CF" w:rsidRPr="003635C7" w:rsidRDefault="00FC2237" w:rsidP="00FC2237">
      <w:pPr>
        <w:pStyle w:val="Zarkazkladnhotextu"/>
        <w:spacing w:after="120"/>
        <w:ind w:firstLine="0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lastRenderedPageBreak/>
        <w:t xml:space="preserve">Z celkového počtu reštrukturalizácií bolo 17 (89,47 %) povolených právnickým osobám, 1 </w:t>
      </w:r>
      <w:r w:rsidR="00DB2B66" w:rsidRPr="003635C7">
        <w:rPr>
          <w:rFonts w:ascii="Verdana" w:hAnsi="Verdana" w:cs="Arial"/>
          <w:sz w:val="18"/>
          <w:szCs w:val="18"/>
          <w:lang w:val="sk-SK"/>
        </w:rPr>
        <w:br/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(5,26 %) združeniu a iba 1 </w:t>
      </w:r>
      <w:r w:rsidR="002F0876" w:rsidRPr="003635C7">
        <w:rPr>
          <w:rFonts w:ascii="Verdana" w:hAnsi="Verdana" w:cs="Arial"/>
          <w:sz w:val="18"/>
          <w:szCs w:val="18"/>
          <w:lang w:val="sk-SK"/>
        </w:rPr>
        <w:t xml:space="preserve">(5,26 %) 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fyzickej osobe – živnostníkovi. 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>Firmy, ktorým bola povolená reštrukturalizácia</w:t>
      </w:r>
      <w:r w:rsidR="002F0876" w:rsidRPr="003635C7">
        <w:rPr>
          <w:rFonts w:ascii="Verdana" w:hAnsi="Verdana" w:cs="Arial"/>
          <w:sz w:val="18"/>
          <w:szCs w:val="18"/>
          <w:lang w:val="sk-SK"/>
        </w:rPr>
        <w:t>,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 xml:space="preserve"> patrili z hľadiska počtu pracovníkov na rozdiel od predchádzajúcich analyzovaných období k menším zamestnávateľom, až 83,33 % z nich </w:t>
      </w:r>
      <w:r w:rsidR="00B8331B" w:rsidRPr="003635C7">
        <w:rPr>
          <w:rFonts w:ascii="Verdana" w:hAnsi="Verdana" w:cs="Arial"/>
          <w:sz w:val="18"/>
          <w:szCs w:val="18"/>
          <w:lang w:val="sk-SK"/>
        </w:rPr>
        <w:t>m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>alo od 1 do 49 zamestnancov.</w:t>
      </w:r>
      <w:r w:rsidR="00D62D8B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0100AA" w:rsidRPr="003635C7">
        <w:rPr>
          <w:rFonts w:ascii="Verdana" w:hAnsi="Verdana" w:cs="Arial"/>
          <w:sz w:val="18"/>
          <w:szCs w:val="18"/>
          <w:lang w:val="sk-SK"/>
        </w:rPr>
        <w:t xml:space="preserve">Najviac </w:t>
      </w:r>
      <w:r w:rsidR="00B8331B" w:rsidRPr="003635C7">
        <w:rPr>
          <w:rFonts w:ascii="Verdana" w:hAnsi="Verdana" w:cs="Arial"/>
          <w:sz w:val="18"/>
          <w:szCs w:val="18"/>
          <w:lang w:val="sk-SK"/>
        </w:rPr>
        <w:t>pracovníkov</w:t>
      </w:r>
      <w:r w:rsidR="002F0876" w:rsidRPr="003635C7">
        <w:rPr>
          <w:rFonts w:ascii="Verdana" w:hAnsi="Verdana" w:cs="Arial"/>
          <w:sz w:val="18"/>
          <w:szCs w:val="18"/>
          <w:lang w:val="sk-SK"/>
        </w:rPr>
        <w:t xml:space="preserve">, od 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>50</w:t>
      </w:r>
      <w:r w:rsidR="00281C7A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2F0876" w:rsidRPr="003635C7">
        <w:rPr>
          <w:rFonts w:ascii="Verdana" w:hAnsi="Verdana" w:cs="Arial"/>
          <w:sz w:val="18"/>
          <w:szCs w:val="18"/>
          <w:lang w:val="sk-SK"/>
        </w:rPr>
        <w:t xml:space="preserve">do 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>9</w:t>
      </w:r>
      <w:r w:rsidR="00281C7A" w:rsidRPr="003635C7">
        <w:rPr>
          <w:rFonts w:ascii="Verdana" w:hAnsi="Verdana" w:cs="Arial"/>
          <w:sz w:val="18"/>
          <w:szCs w:val="18"/>
          <w:lang w:val="sk-SK"/>
        </w:rPr>
        <w:t>9</w:t>
      </w:r>
      <w:r w:rsidR="002F0876" w:rsidRPr="003635C7">
        <w:rPr>
          <w:rFonts w:ascii="Verdana" w:hAnsi="Verdana" w:cs="Arial"/>
          <w:sz w:val="18"/>
          <w:szCs w:val="18"/>
          <w:lang w:val="sk-SK"/>
        </w:rPr>
        <w:t>,</w:t>
      </w:r>
      <w:r w:rsidR="00281C7A" w:rsidRPr="003635C7">
        <w:rPr>
          <w:rFonts w:ascii="Verdana" w:hAnsi="Verdana" w:cs="Arial"/>
          <w:sz w:val="18"/>
          <w:szCs w:val="18"/>
          <w:lang w:val="sk-SK"/>
        </w:rPr>
        <w:t xml:space="preserve"> </w:t>
      </w:r>
      <w:r w:rsidR="00B8331B" w:rsidRPr="003635C7">
        <w:rPr>
          <w:rFonts w:ascii="Verdana" w:hAnsi="Verdana" w:cs="Arial"/>
          <w:sz w:val="18"/>
          <w:szCs w:val="18"/>
          <w:lang w:val="sk-SK"/>
        </w:rPr>
        <w:t>zamestnával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 xml:space="preserve"> veľkoobchod</w:t>
      </w:r>
      <w:r w:rsidR="00D62D8B" w:rsidRPr="003635C7">
        <w:rPr>
          <w:rFonts w:ascii="Verdana" w:hAnsi="Verdana" w:cs="Arial"/>
          <w:sz w:val="18"/>
          <w:szCs w:val="18"/>
          <w:lang w:val="sk-SK"/>
        </w:rPr>
        <w:t>ný podnik</w:t>
      </w:r>
      <w:r w:rsidR="003313CF" w:rsidRPr="003635C7">
        <w:rPr>
          <w:rFonts w:ascii="Verdana" w:hAnsi="Verdana" w:cs="Arial"/>
          <w:sz w:val="18"/>
          <w:szCs w:val="18"/>
          <w:lang w:val="sk-SK"/>
        </w:rPr>
        <w:t xml:space="preserve"> so železiarskym, inštalatérskym tovarom a vykurovacími zariadeniami a potrebami TMS - MONTYS s.r.o.</w:t>
      </w:r>
    </w:p>
    <w:p w:rsidR="003476E7" w:rsidRPr="003635C7" w:rsidRDefault="003476E7" w:rsidP="00A20339">
      <w:pPr>
        <w:spacing w:after="120"/>
        <w:jc w:val="both"/>
        <w:rPr>
          <w:rFonts w:ascii="Verdana" w:eastAsia="Times New Roman" w:hAnsi="Verdana" w:cs="Arial"/>
          <w:sz w:val="18"/>
          <w:szCs w:val="18"/>
          <w:lang w:val="sk-SK" w:eastAsia="ar-SA"/>
        </w:rPr>
      </w:pP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Obdobne ako </w:t>
      </w:r>
      <w:r w:rsidR="00A20339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u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konkurzov sme zaznamenali rozdiely v jednotlivých </w:t>
      </w:r>
      <w:r w:rsidR="0035185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odvetviach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a krajoch</w:t>
      </w:r>
      <w:r w:rsidR="00BD74C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z hľadiska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počtu ako aj podielu povolených reštrukturalizácií a to tak v rámci </w:t>
      </w:r>
      <w:r w:rsidR="00CF539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prvého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štvrťroku 201</w:t>
      </w:r>
      <w:r w:rsidR="00D62D8B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5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, ako aj medzi analyzovanými obdobiami navzájom. </w:t>
      </w:r>
    </w:p>
    <w:p w:rsidR="00466C25" w:rsidRPr="003635C7" w:rsidRDefault="00596396" w:rsidP="00CF5396">
      <w:pPr>
        <w:spacing w:after="120"/>
        <w:jc w:val="both"/>
        <w:rPr>
          <w:rFonts w:ascii="Verdana" w:eastAsia="Times New Roman" w:hAnsi="Verdana" w:cs="Arial"/>
          <w:sz w:val="18"/>
          <w:szCs w:val="18"/>
          <w:lang w:val="sk-SK" w:eastAsia="ar-SA"/>
        </w:rPr>
      </w:pP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V obidvoch porovnávaných štvrťrokoch súčasne bola aspoň 1 reštrukturalizácia povolená</w:t>
      </w:r>
      <w:r w:rsidR="00CF539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v </w:t>
      </w:r>
      <w:r w:rsidR="00250B7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8</w:t>
      </w:r>
      <w:r w:rsidR="00CF539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="005B293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sekciách z 21</w:t>
      </w:r>
      <w:r w:rsidR="005B293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(graf č. </w:t>
      </w:r>
      <w:r w:rsidR="00CF539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3</w:t>
      </w:r>
      <w:r w:rsidR="005B293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)</w:t>
      </w:r>
      <w:r w:rsidR="00916D2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. </w:t>
      </w:r>
      <w:r w:rsidR="00413E5C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N</w:t>
      </w:r>
      <w:r w:rsidR="00916D2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ajviac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(po 4)</w:t>
      </w:r>
      <w:r w:rsidR="00916D2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ich bolo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v 1. štvrťroku 2015</w:t>
      </w:r>
      <w:r w:rsidR="00916D23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povolených v priemyselnej výrobe (sekcia C, prvá </w:t>
      </w:r>
      <w:r w:rsidR="00413E5C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aj 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v prvom štvrťroku 2014) a vo </w:t>
      </w:r>
      <w:r w:rsidR="00466C25" w:rsidRPr="003635C7">
        <w:rPr>
          <w:rFonts w:ascii="Verdana" w:hAnsi="Verdana" w:cs="Arial"/>
          <w:sz w:val="18"/>
          <w:szCs w:val="18"/>
          <w:lang w:val="sk-SK"/>
        </w:rPr>
        <w:t xml:space="preserve">veľkoobchode a maloobchode; oprave motorových vozidiel a motocyklov (sekcia G, druhá spolu so stavebníctvom 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v prvom štvrťroku 2014)</w:t>
      </w:r>
      <w:r w:rsidR="00413E5C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.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</w:p>
    <w:p w:rsidR="00466C25" w:rsidRPr="003635C7" w:rsidRDefault="00413E5C" w:rsidP="00CF5396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Aj v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 treťom odvetví 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v poradí 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– v stavebníctve (sekcia F) sa počet povolených reštrukturalizácií medziročne znížil </w:t>
      </w:r>
      <w:r w:rsidR="00215D7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(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z 5 na 3</w:t>
      </w:r>
      <w:r w:rsidR="00164D1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, t. j. o 40 %</w:t>
      </w:r>
      <w:r w:rsidR="00215D7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)</w:t>
      </w:r>
      <w:r w:rsidR="00466C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. </w:t>
      </w:r>
      <w:r w:rsidR="00466C25" w:rsidRPr="003635C7">
        <w:rPr>
          <w:rFonts w:ascii="Verdana" w:hAnsi="Verdana" w:cs="Arial"/>
          <w:sz w:val="18"/>
          <w:szCs w:val="18"/>
          <w:lang w:val="sk-SK"/>
        </w:rPr>
        <w:t xml:space="preserve">V ostatných odvetviach, ktoré naň bezprostredne nadväzujú, </w:t>
      </w:r>
      <w:r w:rsidR="00FC2237" w:rsidRPr="003635C7">
        <w:rPr>
          <w:rFonts w:ascii="Verdana" w:hAnsi="Verdana" w:cs="Arial"/>
          <w:sz w:val="18"/>
          <w:szCs w:val="18"/>
          <w:lang w:val="sk-SK"/>
        </w:rPr>
        <w:t xml:space="preserve">sme na rozdiel od posledných rokov </w:t>
      </w:r>
      <w:r w:rsidR="00215D7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identifikovali </w:t>
      </w:r>
      <w:r w:rsidR="00215D74" w:rsidRPr="003635C7">
        <w:rPr>
          <w:rFonts w:ascii="Verdana" w:hAnsi="Verdana" w:cs="Arial"/>
          <w:sz w:val="18"/>
          <w:szCs w:val="18"/>
          <w:lang w:val="sk-SK"/>
        </w:rPr>
        <w:t>v</w:t>
      </w:r>
      <w:r w:rsidR="00FC223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 prvom štvrťroku 2015 </w:t>
      </w:r>
      <w:r w:rsidR="00215D7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iba</w:t>
      </w:r>
      <w:r w:rsidR="00FC223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1</w:t>
      </w:r>
      <w:r w:rsidR="00215D7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nadväzujúci</w:t>
      </w:r>
      <w:r w:rsidR="00FC223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priemyselný podnik (sekcia C) vyrábajúci výrobky z plastu pre stavebníctvo. </w:t>
      </w:r>
    </w:p>
    <w:p w:rsidR="00250B76" w:rsidRPr="003635C7" w:rsidRDefault="00596396" w:rsidP="0035185D">
      <w:pPr>
        <w:spacing w:line="360" w:lineRule="auto"/>
        <w:jc w:val="both"/>
        <w:rPr>
          <w:b/>
          <w:lang w:val="sk-SK"/>
        </w:rPr>
      </w:pPr>
      <w:r w:rsidRPr="003635C7">
        <w:rPr>
          <w:b/>
          <w:lang w:val="sk-SK"/>
        </w:rPr>
        <w:t xml:space="preserve">Graf č. </w:t>
      </w:r>
      <w:r w:rsidR="00CF5396" w:rsidRPr="003635C7">
        <w:rPr>
          <w:b/>
          <w:lang w:val="sk-SK"/>
        </w:rPr>
        <w:t>3</w:t>
      </w:r>
      <w:r w:rsidRPr="003635C7">
        <w:rPr>
          <w:b/>
          <w:lang w:val="sk-SK"/>
        </w:rPr>
        <w:t>: Vývoj počtu povolených reštrukturalizácií v</w:t>
      </w:r>
      <w:r w:rsidR="00250B76" w:rsidRPr="003635C7">
        <w:rPr>
          <w:b/>
          <w:lang w:val="sk-SK"/>
        </w:rPr>
        <w:t> </w:t>
      </w:r>
      <w:r w:rsidRPr="003635C7">
        <w:rPr>
          <w:b/>
          <w:lang w:val="sk-SK"/>
        </w:rPr>
        <w:t>sekciách</w:t>
      </w:r>
      <w:r w:rsidR="00250B76" w:rsidRPr="003635C7">
        <w:rPr>
          <w:b/>
          <w:lang w:val="sk-SK"/>
        </w:rPr>
        <w:t>*</w:t>
      </w:r>
      <w:r w:rsidRPr="003635C7">
        <w:rPr>
          <w:b/>
          <w:lang w:val="sk-SK"/>
        </w:rPr>
        <w:t xml:space="preserve"> za </w:t>
      </w:r>
      <w:r w:rsidR="00AF125F" w:rsidRPr="003635C7">
        <w:rPr>
          <w:b/>
          <w:lang w:val="sk-SK"/>
        </w:rPr>
        <w:t>1</w:t>
      </w:r>
      <w:r w:rsidRPr="003635C7">
        <w:rPr>
          <w:b/>
          <w:lang w:val="sk-SK"/>
        </w:rPr>
        <w:t>. Q 201</w:t>
      </w:r>
      <w:r w:rsidR="00250B76" w:rsidRPr="003635C7">
        <w:rPr>
          <w:b/>
          <w:lang w:val="sk-SK"/>
        </w:rPr>
        <w:t>4</w:t>
      </w:r>
      <w:r w:rsidRPr="003635C7">
        <w:rPr>
          <w:b/>
          <w:lang w:val="sk-SK"/>
        </w:rPr>
        <w:t xml:space="preserve"> a</w:t>
      </w:r>
      <w:r w:rsidR="00250B76" w:rsidRPr="003635C7">
        <w:rPr>
          <w:b/>
          <w:lang w:val="sk-SK"/>
        </w:rPr>
        <w:t> </w:t>
      </w:r>
      <w:r w:rsidRPr="003635C7">
        <w:rPr>
          <w:b/>
          <w:lang w:val="sk-SK"/>
        </w:rPr>
        <w:t>201</w:t>
      </w:r>
      <w:r w:rsidR="00250B76" w:rsidRPr="003635C7">
        <w:rPr>
          <w:b/>
          <w:lang w:val="sk-SK"/>
        </w:rPr>
        <w:t>5</w:t>
      </w:r>
    </w:p>
    <w:p w:rsidR="00250B76" w:rsidRPr="003635C7" w:rsidRDefault="00250B76" w:rsidP="0035185D">
      <w:pPr>
        <w:spacing w:line="360" w:lineRule="auto"/>
        <w:jc w:val="both"/>
        <w:rPr>
          <w:b/>
          <w:lang w:val="sk-SK"/>
        </w:rPr>
      </w:pPr>
      <w:r w:rsidRPr="003635C7">
        <w:rPr>
          <w:noProof/>
          <w:lang w:val="sk-SK" w:eastAsia="sk-SK"/>
        </w:rPr>
        <w:drawing>
          <wp:inline distT="0" distB="0" distL="0" distR="0">
            <wp:extent cx="5762625" cy="1838325"/>
            <wp:effectExtent l="0" t="0" r="9525" b="952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0B76" w:rsidRPr="003635C7" w:rsidRDefault="00250B76" w:rsidP="00250B76">
      <w:pPr>
        <w:spacing w:line="360" w:lineRule="auto"/>
        <w:jc w:val="both"/>
        <w:rPr>
          <w:rFonts w:ascii="Verdana" w:hAnsi="Verdana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 xml:space="preserve">Zdroj: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Cribis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Univerzálny register, CRIF – Slovak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Credit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Bureau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>, s. r. o.</w:t>
      </w:r>
    </w:p>
    <w:p w:rsidR="00250B76" w:rsidRPr="003635C7" w:rsidRDefault="00250B76" w:rsidP="00250B76">
      <w:pPr>
        <w:jc w:val="both"/>
        <w:rPr>
          <w:rFonts w:ascii="Verdana" w:hAnsi="Verdana"/>
          <w:sz w:val="16"/>
          <w:szCs w:val="16"/>
          <w:lang w:val="sk-SK"/>
        </w:rPr>
      </w:pPr>
    </w:p>
    <w:p w:rsidR="00250B76" w:rsidRPr="003635C7" w:rsidRDefault="00250B76" w:rsidP="00250B76">
      <w:pPr>
        <w:jc w:val="both"/>
        <w:rPr>
          <w:rFonts w:ascii="Verdana" w:hAnsi="Verdana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 xml:space="preserve">* V deviatich sekciách ekonomických činností nebola v obidvoch porovnávaných štvrťrokoch súčasne povolená ani 1 reštrukturalizácia: </w:t>
      </w:r>
      <w:r w:rsidRPr="003635C7">
        <w:rPr>
          <w:rFonts w:ascii="Verdana" w:hAnsi="Verdana"/>
          <w:color w:val="000000"/>
          <w:sz w:val="16"/>
          <w:szCs w:val="16"/>
          <w:lang w:val="sk-SK"/>
        </w:rPr>
        <w:t>poľnohospodárstvo, poľovníctvo a rybolov (sekcia A); ťažba a dobývanie (sekcia B); dodávka elektriny, plynu, pary a studeného vzduchu (sekcia D); finančné a poisťovacie činnosti (sekcia K);</w:t>
      </w:r>
      <w:r w:rsidRPr="003635C7">
        <w:rPr>
          <w:rFonts w:ascii="Verdana" w:hAnsi="Verdana"/>
          <w:sz w:val="16"/>
          <w:szCs w:val="16"/>
          <w:lang w:val="sk-SK"/>
        </w:rPr>
        <w:t xml:space="preserve"> verejná správa a obrana; povinné sociálne zabezpečenie (sekcia O); vzdelávanie (sekcia P);</w:t>
      </w:r>
      <w:r w:rsidRPr="003635C7">
        <w:rPr>
          <w:rFonts w:ascii="Verdana" w:hAnsi="Verdana"/>
          <w:color w:val="000000"/>
          <w:sz w:val="16"/>
          <w:szCs w:val="16"/>
          <w:lang w:val="sk-SK"/>
        </w:rPr>
        <w:t xml:space="preserve"> zdravotníctvo a sociálna pomoc (sekcia Q);</w:t>
      </w:r>
      <w:r w:rsidRPr="003635C7">
        <w:rPr>
          <w:rFonts w:ascii="Verdana" w:hAnsi="Verdana"/>
          <w:sz w:val="16"/>
          <w:szCs w:val="16"/>
          <w:lang w:val="sk-SK"/>
        </w:rPr>
        <w:t xml:space="preserve"> činnosti domácností ako zamestnávateľov; nediferencované činnosti v domácnostiach produkujúce tovary a služby na vlastné použitie (sekcia T) a činnosti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extrateritoriálnych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organizácií a združení (sekcia U).</w:t>
      </w:r>
    </w:p>
    <w:p w:rsidR="00250B76" w:rsidRPr="003635C7" w:rsidRDefault="00250B76" w:rsidP="0035185D">
      <w:pPr>
        <w:spacing w:line="360" w:lineRule="auto"/>
        <w:jc w:val="both"/>
        <w:rPr>
          <w:b/>
          <w:lang w:val="sk-SK"/>
        </w:rPr>
      </w:pPr>
    </w:p>
    <w:p w:rsidR="00FC2237" w:rsidRPr="003635C7" w:rsidRDefault="00FC2237" w:rsidP="00FC2237">
      <w:pPr>
        <w:spacing w:after="120"/>
        <w:jc w:val="both"/>
        <w:rPr>
          <w:rFonts w:ascii="Verdana" w:hAnsi="Verdana" w:cs="Arial"/>
          <w:sz w:val="18"/>
          <w:szCs w:val="18"/>
          <w:lang w:val="sk-SK"/>
        </w:rPr>
      </w:pPr>
      <w:r w:rsidRPr="003635C7">
        <w:rPr>
          <w:rFonts w:ascii="Verdana" w:hAnsi="Verdana" w:cs="Arial"/>
          <w:sz w:val="18"/>
          <w:szCs w:val="18"/>
          <w:lang w:val="sk-SK"/>
        </w:rPr>
        <w:t>Z hľadiska podielu počtu povolených reštrukturalizácií k počtu subjektov pôsobiacich v danom odvetví bola v prvom štvrťroku 2015 výrazne najrizikovejšou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dodávka vody; čistenie a odvod odpadových vôd, odpady a služby odstraňovania odpadov (sekcia E)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>, kde v prvom štvrťroku 2014 nebola povolená ani jedna reštrukturalizácia. V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 rovnakom období minulého roku 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 xml:space="preserve">bol najväčší podiel povolených reštrukturalizácií v 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>ubytovac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>ích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a stravovac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>ích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služb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>ách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(sekcia I). </w:t>
      </w:r>
      <w:r w:rsidRPr="003635C7">
        <w:rPr>
          <w:rFonts w:ascii="Verdana" w:hAnsi="Verdana" w:cs="Arial"/>
          <w:sz w:val="18"/>
          <w:szCs w:val="18"/>
          <w:lang w:val="sk-SK"/>
        </w:rPr>
        <w:t xml:space="preserve">Poradie sekcií sa medziročne 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okrem </w:t>
      </w:r>
      <w:r w:rsidR="00164D1D" w:rsidRPr="003635C7">
        <w:rPr>
          <w:rFonts w:ascii="Verdana" w:hAnsi="Verdana" w:cs="Arial"/>
          <w:sz w:val="18"/>
          <w:szCs w:val="18"/>
          <w:lang w:val="sk-SK"/>
        </w:rPr>
        <w:t>štyroch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(tretia priemyselná výroba /sekcia C/, piata informácie a komunikácia /sekcia J/</w:t>
      </w:r>
      <w:r w:rsidR="00562C81" w:rsidRPr="003635C7">
        <w:rPr>
          <w:rFonts w:ascii="Verdana" w:hAnsi="Verdana" w:cs="Arial"/>
          <w:sz w:val="18"/>
          <w:szCs w:val="18"/>
          <w:lang w:val="sk-SK"/>
        </w:rPr>
        <w:t>,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deviata veľkoobchod a maloobchod; oprava motorových vozidiel a motocyklov /sekcia G/, desiata</w:t>
      </w:r>
      <w:r w:rsidR="001A5E93" w:rsidRPr="003635C7">
        <w:rPr>
          <w:rFonts w:ascii="Verdana" w:hAnsi="Verdana"/>
          <w:color w:val="000000"/>
          <w:sz w:val="16"/>
          <w:szCs w:val="16"/>
          <w:lang w:val="sk-SK"/>
        </w:rPr>
        <w:t xml:space="preserve"> 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>odborné, vedecké a technické činnosti /sekcia M/</w:t>
      </w:r>
      <w:r w:rsidR="00562C81" w:rsidRPr="003635C7">
        <w:rPr>
          <w:rFonts w:ascii="Verdana" w:hAnsi="Verdana" w:cs="Arial"/>
          <w:sz w:val="18"/>
          <w:szCs w:val="18"/>
          <w:lang w:val="sk-SK"/>
        </w:rPr>
        <w:t>)</w:t>
      </w:r>
      <w:r w:rsidR="001A5E93" w:rsidRPr="003635C7">
        <w:rPr>
          <w:rFonts w:ascii="Verdana" w:hAnsi="Verdana" w:cs="Arial"/>
          <w:sz w:val="18"/>
          <w:szCs w:val="18"/>
          <w:lang w:val="sk-SK"/>
        </w:rPr>
        <w:t xml:space="preserve"> zmenilo a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 xml:space="preserve"> s výnimkou poslednej sekcie v poradí N - administratívne a podporné služby sa odlišovalo </w:t>
      </w:r>
      <w:r w:rsidR="00AE5246" w:rsidRPr="003635C7">
        <w:rPr>
          <w:rFonts w:ascii="Verdana" w:hAnsi="Verdana" w:cs="Arial"/>
          <w:sz w:val="18"/>
          <w:szCs w:val="18"/>
          <w:lang w:val="sk-SK"/>
        </w:rPr>
        <w:t xml:space="preserve">aj </w:t>
      </w:r>
      <w:r w:rsidR="00B611CB" w:rsidRPr="003635C7">
        <w:rPr>
          <w:rFonts w:ascii="Verdana" w:hAnsi="Verdana" w:cs="Arial"/>
          <w:sz w:val="18"/>
          <w:szCs w:val="18"/>
          <w:lang w:val="sk-SK"/>
        </w:rPr>
        <w:t>od ich poradia podľa počtu.</w:t>
      </w:r>
    </w:p>
    <w:p w:rsidR="00940D9D" w:rsidRPr="003635C7" w:rsidRDefault="00562C81" w:rsidP="00A56828">
      <w:pPr>
        <w:spacing w:after="120"/>
        <w:jc w:val="both"/>
        <w:rPr>
          <w:rFonts w:ascii="Verdana" w:eastAsia="Times New Roman" w:hAnsi="Verdana" w:cs="Arial"/>
          <w:sz w:val="18"/>
          <w:szCs w:val="18"/>
          <w:lang w:val="sk-SK" w:eastAsia="ar-SA"/>
        </w:rPr>
      </w:pP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lastRenderedPageBreak/>
        <w:t>V rámci regiónov sme v obidvoch porovnávaných obdobiach zaznamenali výrazné rozdiely vo vývoji</w:t>
      </w:r>
      <w:r w:rsidR="00FD62C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počtu povolených reštrukturalizácií </w:t>
      </w:r>
      <w:r w:rsidR="00BE17B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(graf č. 4)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– ich poradie sa zachovalo iba v jedinom kraji – Trnavskom (siedmy v poradí)</w:t>
      </w:r>
      <w:r w:rsidR="009766C8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. 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Výrazne n</w:t>
      </w:r>
      <w:r w:rsidR="009766C8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ajviac povolených reštrukturalizácií v prvom štvrťroku 201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5</w:t>
      </w:r>
      <w:r w:rsidR="009766C8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bolo v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 Bratislavskom kraji, v ktorom sme zaznamenali aj najväčší nárast ich počtu zo 4 (tretí v poradí v prvom štvrťroku 2014) na 7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, t. j. o 75,00 %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. Na rozdiel od </w:t>
      </w:r>
      <w:r w:rsidR="006F38FA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klesajúcej 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tendencie vo vývoji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počtu povolených reštrukturalizácií 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v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SR celkom sa zvýšil 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o 1 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ich počet aj v Trenčianskom a Nitrianskom kraji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(</w:t>
      </w:r>
      <w:r w:rsidR="00170D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druhé</w:t>
      </w:r>
      <w:r w:rsidR="00FF74DF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v poradí)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. V prvom štvrťroku 2015 nebola ani 1 reštrukturalizácia povolená v Košickom kraji a najmenej (po jednej) ich bolo </w:t>
      </w:r>
      <w:r w:rsidR="00170D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povolených </w:t>
      </w:r>
      <w:r w:rsidR="00940D9D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v Trnavskom a Prešovskom kraji</w:t>
      </w:r>
      <w:r w:rsidR="00B0629B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, v rovnakom období minulého roku ich bolo najmenej (po 2) v</w:t>
      </w:r>
      <w:r w:rsidR="00170D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 </w:t>
      </w:r>
      <w:r w:rsidR="00B0629B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Košickom</w:t>
      </w:r>
      <w:r w:rsidR="00170D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,</w:t>
      </w:r>
      <w:r w:rsidR="00B0629B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 Trnavskom </w:t>
      </w:r>
      <w:r w:rsidR="00170D25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a Nitrianskom </w:t>
      </w:r>
      <w:r w:rsidR="00B0629B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kraji.</w:t>
      </w:r>
    </w:p>
    <w:p w:rsidR="00FD62C2" w:rsidRPr="003635C7" w:rsidRDefault="00FD62C2" w:rsidP="00FD62C2">
      <w:pPr>
        <w:spacing w:line="360" w:lineRule="auto"/>
        <w:jc w:val="both"/>
        <w:rPr>
          <w:b/>
          <w:lang w:val="sk-SK"/>
        </w:rPr>
      </w:pPr>
      <w:r w:rsidRPr="003635C7">
        <w:rPr>
          <w:b/>
          <w:lang w:val="sk-SK"/>
        </w:rPr>
        <w:t xml:space="preserve">Graf č. </w:t>
      </w:r>
      <w:r w:rsidR="00511F59" w:rsidRPr="003635C7">
        <w:rPr>
          <w:b/>
          <w:lang w:val="sk-SK"/>
        </w:rPr>
        <w:t>4</w:t>
      </w:r>
      <w:r w:rsidRPr="003635C7">
        <w:rPr>
          <w:b/>
          <w:lang w:val="sk-SK"/>
        </w:rPr>
        <w:t xml:space="preserve">: Vývoj počtu povolených reštrukturalizácií v krajoch za </w:t>
      </w:r>
      <w:r w:rsidR="00FD3704" w:rsidRPr="003635C7">
        <w:rPr>
          <w:b/>
          <w:lang w:val="sk-SK"/>
        </w:rPr>
        <w:t>1</w:t>
      </w:r>
      <w:r w:rsidRPr="003635C7">
        <w:rPr>
          <w:b/>
          <w:lang w:val="sk-SK"/>
        </w:rPr>
        <w:t>. Q 201</w:t>
      </w:r>
      <w:r w:rsidR="00BE371A" w:rsidRPr="003635C7">
        <w:rPr>
          <w:b/>
          <w:lang w:val="sk-SK"/>
        </w:rPr>
        <w:t>4</w:t>
      </w:r>
      <w:r w:rsidRPr="003635C7">
        <w:rPr>
          <w:b/>
          <w:lang w:val="sk-SK"/>
        </w:rPr>
        <w:t xml:space="preserve"> a</w:t>
      </w:r>
      <w:r w:rsidR="00940D9D" w:rsidRPr="003635C7">
        <w:rPr>
          <w:b/>
          <w:lang w:val="sk-SK"/>
        </w:rPr>
        <w:t> </w:t>
      </w:r>
      <w:r w:rsidRPr="003635C7">
        <w:rPr>
          <w:b/>
          <w:lang w:val="sk-SK"/>
        </w:rPr>
        <w:t>201</w:t>
      </w:r>
      <w:r w:rsidR="00BE371A" w:rsidRPr="003635C7">
        <w:rPr>
          <w:b/>
          <w:lang w:val="sk-SK"/>
        </w:rPr>
        <w:t>5</w:t>
      </w:r>
    </w:p>
    <w:p w:rsidR="00940D9D" w:rsidRPr="003635C7" w:rsidRDefault="00940D9D" w:rsidP="00FD62C2">
      <w:pPr>
        <w:spacing w:line="360" w:lineRule="auto"/>
        <w:jc w:val="both"/>
        <w:rPr>
          <w:b/>
          <w:lang w:val="sk-SK"/>
        </w:rPr>
      </w:pPr>
      <w:r w:rsidRPr="003635C7">
        <w:rPr>
          <w:noProof/>
          <w:lang w:val="sk-SK" w:eastAsia="sk-SK"/>
        </w:rPr>
        <w:drawing>
          <wp:inline distT="0" distB="0" distL="0" distR="0">
            <wp:extent cx="5762625" cy="1857375"/>
            <wp:effectExtent l="0" t="0" r="9525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7EC9" w:rsidRPr="003635C7" w:rsidRDefault="006F7EC9" w:rsidP="006F7EC9">
      <w:pPr>
        <w:spacing w:line="360" w:lineRule="auto"/>
        <w:jc w:val="both"/>
        <w:rPr>
          <w:rFonts w:ascii="Verdana" w:hAnsi="Verdana"/>
          <w:sz w:val="16"/>
          <w:szCs w:val="16"/>
          <w:lang w:val="sk-SK"/>
        </w:rPr>
      </w:pPr>
      <w:r w:rsidRPr="003635C7">
        <w:rPr>
          <w:rFonts w:ascii="Verdana" w:hAnsi="Verdana"/>
          <w:sz w:val="16"/>
          <w:szCs w:val="16"/>
          <w:lang w:val="sk-SK"/>
        </w:rPr>
        <w:t xml:space="preserve">Zdroj: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Cribis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Univerzálny register, CRIF – Slovak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Credit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 xml:space="preserve"> </w:t>
      </w:r>
      <w:proofErr w:type="spellStart"/>
      <w:r w:rsidRPr="003635C7">
        <w:rPr>
          <w:rFonts w:ascii="Verdana" w:hAnsi="Verdana"/>
          <w:sz w:val="16"/>
          <w:szCs w:val="16"/>
          <w:lang w:val="sk-SK"/>
        </w:rPr>
        <w:t>Bureau</w:t>
      </w:r>
      <w:proofErr w:type="spellEnd"/>
      <w:r w:rsidRPr="003635C7">
        <w:rPr>
          <w:rFonts w:ascii="Verdana" w:hAnsi="Verdana"/>
          <w:sz w:val="16"/>
          <w:szCs w:val="16"/>
          <w:lang w:val="sk-SK"/>
        </w:rPr>
        <w:t>, s.</w:t>
      </w:r>
      <w:r w:rsidR="00C11572" w:rsidRPr="003635C7">
        <w:rPr>
          <w:rFonts w:ascii="Verdana" w:hAnsi="Verdana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sz w:val="16"/>
          <w:szCs w:val="16"/>
          <w:lang w:val="sk-SK"/>
        </w:rPr>
        <w:t>r.</w:t>
      </w:r>
      <w:r w:rsidR="00C11572" w:rsidRPr="003635C7">
        <w:rPr>
          <w:rFonts w:ascii="Verdana" w:hAnsi="Verdana"/>
          <w:sz w:val="16"/>
          <w:szCs w:val="16"/>
          <w:lang w:val="sk-SK"/>
        </w:rPr>
        <w:t xml:space="preserve"> </w:t>
      </w:r>
      <w:r w:rsidRPr="003635C7">
        <w:rPr>
          <w:rFonts w:ascii="Verdana" w:hAnsi="Verdana"/>
          <w:sz w:val="16"/>
          <w:szCs w:val="16"/>
          <w:lang w:val="sk-SK"/>
        </w:rPr>
        <w:t>o.</w:t>
      </w:r>
    </w:p>
    <w:p w:rsidR="006F7EC9" w:rsidRPr="003635C7" w:rsidRDefault="006F7EC9" w:rsidP="00F67A72">
      <w:pPr>
        <w:spacing w:after="120"/>
        <w:jc w:val="both"/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</w:pPr>
    </w:p>
    <w:p w:rsidR="00BE17B6" w:rsidRPr="003635C7" w:rsidRDefault="00B07D26" w:rsidP="00F67A72">
      <w:pPr>
        <w:spacing w:after="120"/>
        <w:jc w:val="both"/>
        <w:rPr>
          <w:rFonts w:ascii="Verdana" w:eastAsia="Times New Roman" w:hAnsi="Verdana" w:cs="Arial"/>
          <w:sz w:val="18"/>
          <w:szCs w:val="18"/>
          <w:lang w:val="sk-SK" w:eastAsia="ar-SA"/>
        </w:rPr>
      </w:pP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Poradie krajov z hľadiska podielu</w:t>
      </w:r>
      <w:r w:rsidR="00660C6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počtu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povolených reštrukturalizácií </w:t>
      </w:r>
      <w:r w:rsidR="00660C6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k počtu subjektov pôsobiacich v danom kraji 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bol</w:t>
      </w:r>
      <w:r w:rsidR="008C359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o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v</w:t>
      </w:r>
      <w:r w:rsidR="00BE17B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 prvých </w:t>
      </w:r>
      <w:r w:rsidR="00BE371A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troch</w:t>
      </w:r>
      <w:r w:rsidR="00BE17B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krajoch</w:t>
      </w:r>
      <w:r w:rsidR="00660C6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="00BE17B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(</w:t>
      </w:r>
      <w:r w:rsidR="00BE371A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v Bratislavskom, Trenčianskom a Nitrianskom</w:t>
      </w:r>
      <w:r w:rsidR="00BE17B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) v prvom štvrťroku 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201</w:t>
      </w:r>
      <w:r w:rsidR="00BE371A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5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rovnaké </w:t>
      </w:r>
      <w:r w:rsidR="00660C6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ako aj</w:t>
      </w:r>
      <w:r w:rsidR="00C11572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podľa</w:t>
      </w:r>
      <w:r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ich počtu.</w:t>
      </w:r>
      <w:r w:rsidR="00660C67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</w:t>
      </w:r>
      <w:r w:rsidR="00AE524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Rok predtým </w:t>
      </w:r>
      <w:r w:rsidR="00BE17B6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bol najvyšší podiel povolených reštrukturalizácií v</w:t>
      </w:r>
      <w:r w:rsidR="00D3625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 </w:t>
      </w:r>
      <w:r w:rsidR="00BE371A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>Banskobystrickom</w:t>
      </w:r>
      <w:r w:rsidR="00D36254" w:rsidRPr="003635C7">
        <w:rPr>
          <w:rFonts w:ascii="Verdana" w:eastAsia="Times New Roman" w:hAnsi="Verdana" w:cs="Arial"/>
          <w:sz w:val="18"/>
          <w:szCs w:val="18"/>
          <w:lang w:val="sk-SK" w:eastAsia="ar-SA"/>
        </w:rPr>
        <w:t xml:space="preserve"> kraji.</w:t>
      </w:r>
    </w:p>
    <w:p w:rsidR="00D36254" w:rsidRPr="003635C7" w:rsidRDefault="00D36254" w:rsidP="00F67A72">
      <w:pPr>
        <w:spacing w:after="120"/>
        <w:jc w:val="both"/>
        <w:rPr>
          <w:lang w:val="sk-SK"/>
        </w:rPr>
      </w:pPr>
    </w:p>
    <w:p w:rsidR="00F67A72" w:rsidRPr="003635C7" w:rsidRDefault="00F67A72" w:rsidP="00F67A72">
      <w:pPr>
        <w:spacing w:after="120"/>
        <w:jc w:val="both"/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</w:pPr>
      <w:r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 xml:space="preserve">O spoločnosti CRIF – Slovak </w:t>
      </w:r>
      <w:proofErr w:type="spellStart"/>
      <w:r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>Credit</w:t>
      </w:r>
      <w:proofErr w:type="spellEnd"/>
      <w:r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 xml:space="preserve"> </w:t>
      </w:r>
      <w:proofErr w:type="spellStart"/>
      <w:r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>Bureau</w:t>
      </w:r>
      <w:proofErr w:type="spellEnd"/>
      <w:r w:rsidR="0069251F"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>, s. r. o.</w:t>
      </w:r>
      <w:r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>:</w:t>
      </w:r>
    </w:p>
    <w:p w:rsidR="00F67A72" w:rsidRPr="003635C7" w:rsidRDefault="00F67A72" w:rsidP="00F67A72">
      <w:pPr>
        <w:spacing w:after="120"/>
        <w:jc w:val="both"/>
        <w:rPr>
          <w:rFonts w:ascii="Verdana" w:hAnsi="Verdana" w:cs="Arial"/>
          <w:sz w:val="16"/>
          <w:szCs w:val="18"/>
          <w:lang w:val="sk-SK"/>
        </w:rPr>
      </w:pPr>
      <w:r w:rsidRPr="003635C7">
        <w:rPr>
          <w:rFonts w:ascii="Verdana" w:hAnsi="Verdana" w:cs="Arial"/>
          <w:sz w:val="16"/>
          <w:szCs w:val="18"/>
          <w:lang w:val="sk-SK"/>
        </w:rPr>
        <w:t xml:space="preserve">Spoločnosť  CRIF – Slovak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Credit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Bureau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zabezpečuje na Slovensku prevádzku slovenských úverových registrov, bankového a nebankového, prostredníctvom ktorých si banky a stavebné sporiteľne, resp. leasingové a splátkové spoločnosti overujú bonitu a schopnosť svojich klientov splácať budúce záväzky. Obom registrom CRIF – Slovak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Credit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Bureau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zabezpečuje technický servis a služby klientskych centier. Spoločnosť CRIF – Slovak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Credit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Bureau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je prevádzkovateľom významného informačného portálu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Cribis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Univerzálny register obsahujúceho komplexné informácie o všetkých subjektoch na Slovensku, vrátane informácií o ich platobnej disciplíne. </w:t>
      </w:r>
      <w:r w:rsidR="003E1430" w:rsidRPr="003635C7">
        <w:rPr>
          <w:rFonts w:ascii="Verdana" w:hAnsi="Verdana" w:cs="Arial"/>
          <w:sz w:val="16"/>
          <w:szCs w:val="18"/>
          <w:lang w:val="sk-SK"/>
        </w:rPr>
        <w:t xml:space="preserve">Na Slovensku je zastúpená aj divízia CRIF </w:t>
      </w:r>
      <w:proofErr w:type="spellStart"/>
      <w:r w:rsidR="003E1430" w:rsidRPr="003635C7">
        <w:rPr>
          <w:rFonts w:ascii="Verdana" w:hAnsi="Verdana" w:cs="Arial"/>
          <w:sz w:val="16"/>
          <w:szCs w:val="18"/>
          <w:lang w:val="sk-SK"/>
        </w:rPr>
        <w:t>Collection</w:t>
      </w:r>
      <w:proofErr w:type="spellEnd"/>
      <w:r w:rsidR="003E1430" w:rsidRPr="003635C7">
        <w:rPr>
          <w:rFonts w:ascii="Verdana" w:hAnsi="Verdana" w:cs="Arial"/>
          <w:sz w:val="16"/>
          <w:szCs w:val="18"/>
          <w:lang w:val="sk-SK"/>
        </w:rPr>
        <w:t xml:space="preserve"> </w:t>
      </w:r>
      <w:proofErr w:type="spellStart"/>
      <w:r w:rsidR="003E1430" w:rsidRPr="003635C7">
        <w:rPr>
          <w:rFonts w:ascii="Verdana" w:hAnsi="Verdana" w:cs="Arial"/>
          <w:sz w:val="16"/>
          <w:szCs w:val="18"/>
          <w:lang w:val="sk-SK"/>
        </w:rPr>
        <w:t>Services</w:t>
      </w:r>
      <w:proofErr w:type="spellEnd"/>
      <w:r w:rsidR="003E1430" w:rsidRPr="003635C7">
        <w:rPr>
          <w:rFonts w:ascii="Verdana" w:hAnsi="Verdana" w:cs="Arial"/>
          <w:sz w:val="16"/>
          <w:szCs w:val="18"/>
          <w:lang w:val="sk-SK"/>
        </w:rPr>
        <w:t>, ktorá sa komplexne venuje problematike vymáhania nesplatených pohľadávok mimosúdnou a súdnou cestou.</w:t>
      </w:r>
    </w:p>
    <w:p w:rsidR="00F67A72" w:rsidRPr="003635C7" w:rsidRDefault="00F67A72" w:rsidP="00F67A72">
      <w:pPr>
        <w:spacing w:after="120"/>
        <w:jc w:val="both"/>
        <w:rPr>
          <w:rFonts w:ascii="Verdana" w:hAnsi="Verdana" w:cs="Arial"/>
          <w:sz w:val="16"/>
          <w:szCs w:val="18"/>
          <w:lang w:val="sk-SK"/>
        </w:rPr>
      </w:pPr>
      <w:r w:rsidRPr="003635C7">
        <w:rPr>
          <w:rFonts w:ascii="Verdana" w:hAnsi="Verdana" w:cs="Arial"/>
          <w:sz w:val="16"/>
          <w:szCs w:val="18"/>
          <w:lang w:val="sk-SK"/>
        </w:rPr>
        <w:t xml:space="preserve">Spoločnosť CRIF – Slovak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Credit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</w:t>
      </w:r>
      <w:proofErr w:type="spellStart"/>
      <w:r w:rsidRPr="003635C7">
        <w:rPr>
          <w:rFonts w:ascii="Verdana" w:hAnsi="Verdana" w:cs="Arial"/>
          <w:sz w:val="16"/>
          <w:szCs w:val="18"/>
          <w:lang w:val="sk-SK"/>
        </w:rPr>
        <w:t>Bureau</w:t>
      </w:r>
      <w:proofErr w:type="spellEnd"/>
      <w:r w:rsidRPr="003635C7">
        <w:rPr>
          <w:rFonts w:ascii="Verdana" w:hAnsi="Verdana" w:cs="Arial"/>
          <w:sz w:val="16"/>
          <w:szCs w:val="18"/>
          <w:lang w:val="sk-SK"/>
        </w:rPr>
        <w:t xml:space="preserve"> bola založená v máji 2004, jej jediným akcionárom je medzinárodná skupina CRIF, ktorá je štvrtý najväčší prevádzkovateľ úverových registrov a systémov pre podporu úverového rozhodovania na svete.</w:t>
      </w:r>
    </w:p>
    <w:p w:rsidR="00F67A72" w:rsidRPr="003635C7" w:rsidRDefault="00F67A72" w:rsidP="00F67A72">
      <w:pPr>
        <w:spacing w:after="120"/>
        <w:jc w:val="both"/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</w:pPr>
      <w:r w:rsidRPr="003635C7">
        <w:rPr>
          <w:rFonts w:ascii="Verdana" w:eastAsia="Times New Roman" w:hAnsi="Verdana" w:cs="Arial"/>
          <w:b/>
          <w:i/>
          <w:sz w:val="16"/>
          <w:szCs w:val="18"/>
          <w:lang w:val="sk-SK" w:eastAsia="cs-CZ"/>
        </w:rPr>
        <w:t>Profil skupiny CRIF:</w:t>
      </w:r>
    </w:p>
    <w:p w:rsidR="00F67A72" w:rsidRPr="003635C7" w:rsidRDefault="00F67A72" w:rsidP="00F67A72">
      <w:pPr>
        <w:spacing w:after="120"/>
        <w:jc w:val="both"/>
        <w:rPr>
          <w:rFonts w:ascii="Verdana" w:hAnsi="Verdana" w:cs="Arial"/>
          <w:sz w:val="16"/>
          <w:szCs w:val="16"/>
          <w:lang w:val="sk-SK"/>
        </w:rPr>
      </w:pPr>
      <w:r w:rsidRPr="003635C7">
        <w:rPr>
          <w:rFonts w:ascii="Verdana" w:hAnsi="Verdana" w:cs="Arial"/>
          <w:sz w:val="16"/>
          <w:szCs w:val="16"/>
          <w:lang w:val="sk-SK"/>
        </w:rPr>
        <w:t xml:space="preserve">CRIF je globálna spoločnosť špecializujúca sa na oblasť rozvoja a riadenia úverového </w:t>
      </w:r>
      <w:proofErr w:type="spellStart"/>
      <w:r w:rsidRPr="003635C7">
        <w:rPr>
          <w:rFonts w:ascii="Verdana" w:hAnsi="Verdana" w:cs="Arial"/>
          <w:sz w:val="16"/>
          <w:szCs w:val="16"/>
          <w:lang w:val="sk-SK"/>
        </w:rPr>
        <w:t>reportingu</w:t>
      </w:r>
      <w:proofErr w:type="spellEnd"/>
      <w:r w:rsidRPr="003635C7">
        <w:rPr>
          <w:rFonts w:ascii="Verdana" w:hAnsi="Verdana" w:cs="Arial"/>
          <w:sz w:val="16"/>
          <w:szCs w:val="16"/>
          <w:lang w:val="sk-SK"/>
        </w:rPr>
        <w:t xml:space="preserve">, obchodných informácií a systémov pre podporu rozhodovania. Bola založená v roku 1988 v talianskej Bologni. Dnes pôsobí na štyroch kontinentoch, a to v Európe, Amerike, Afrike a v Ázii, kde poskytuje svoje služby viac ako 2 400 bankovým a finančným inštitúciám. CRIF je vedúcou spoločnosťou v kontinentálnej Európe v oblasti úverových bankových služieb a je jedným z najväčších poskytovateľov medzinárodných integrovaných služieb pre riadenie obchodných a podnikateľských rizík či efektívne riadenie úverov a pre marketingové rozhodnutia. Patrí tiež k najväčším spoločnostiam, ktoré celosvetovo ponúka systémy pre podporu úverového rozhodovania. </w:t>
      </w:r>
    </w:p>
    <w:p w:rsidR="00CD4649" w:rsidRPr="003635C7" w:rsidRDefault="00F67A72" w:rsidP="00F67A72">
      <w:pPr>
        <w:spacing w:after="120"/>
        <w:jc w:val="both"/>
        <w:rPr>
          <w:rFonts w:ascii="Verdana" w:hAnsi="Verdana" w:cs="Arial"/>
          <w:sz w:val="16"/>
          <w:szCs w:val="16"/>
          <w:lang w:val="sk-SK"/>
        </w:rPr>
      </w:pPr>
      <w:r w:rsidRPr="003635C7">
        <w:rPr>
          <w:rFonts w:ascii="Verdana" w:hAnsi="Verdana" w:cs="Arial"/>
          <w:sz w:val="16"/>
          <w:szCs w:val="16"/>
          <w:lang w:val="sk-SK"/>
        </w:rPr>
        <w:t xml:space="preserve">Ďalšie informácie </w:t>
      </w:r>
      <w:proofErr w:type="spellStart"/>
      <w:r w:rsidRPr="003635C7">
        <w:rPr>
          <w:rFonts w:ascii="Verdana" w:hAnsi="Verdana" w:cs="Arial"/>
          <w:sz w:val="16"/>
          <w:szCs w:val="16"/>
          <w:lang w:val="sk-SK"/>
        </w:rPr>
        <w:t>www.crif.sk</w:t>
      </w:r>
      <w:proofErr w:type="spellEnd"/>
      <w:r w:rsidRPr="003635C7">
        <w:rPr>
          <w:rFonts w:ascii="Verdana" w:hAnsi="Verdana" w:cs="Arial"/>
          <w:sz w:val="16"/>
          <w:szCs w:val="16"/>
          <w:lang w:val="sk-SK"/>
        </w:rPr>
        <w:t>,  www.crif.com</w:t>
      </w:r>
      <w:r w:rsidR="00CD4649" w:rsidRPr="003635C7">
        <w:rPr>
          <w:rFonts w:ascii="Verdana" w:hAnsi="Verdana" w:cs="Arial"/>
          <w:sz w:val="16"/>
          <w:szCs w:val="16"/>
          <w:lang w:val="sk-SK"/>
        </w:rPr>
        <w:t xml:space="preserve"> </w:t>
      </w:r>
    </w:p>
    <w:sectPr w:rsidR="00CD4649" w:rsidRPr="003635C7" w:rsidSect="0014709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CF" w:rsidRDefault="00276ACF" w:rsidP="00A664E4">
      <w:r>
        <w:separator/>
      </w:r>
    </w:p>
  </w:endnote>
  <w:endnote w:type="continuationSeparator" w:id="0">
    <w:p w:rsidR="00276ACF" w:rsidRDefault="00276ACF" w:rsidP="00A6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25" w:rsidRDefault="00466C25" w:rsidP="00D6378A">
    <w:pPr>
      <w:pStyle w:val="Pta"/>
      <w:rPr>
        <w:rFonts w:ascii="Verdana" w:hAnsi="Verdana"/>
        <w:sz w:val="16"/>
        <w:szCs w:val="16"/>
      </w:rPr>
    </w:pPr>
  </w:p>
  <w:p w:rsidR="00466C25" w:rsidRPr="006D4A1E" w:rsidRDefault="00F75573" w:rsidP="00D6378A">
    <w:pPr>
      <w:pStyle w:val="Pt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val="sk-SK" w:eastAsia="sk-SK"/>
      </w:rPr>
      <w:pict>
        <v:rect id="Obdélník 26" o:spid="_x0000_s4103" style="position:absolute;margin-left:889.25pt;margin-top:6.8pt;width:340.15pt;height:2.85pt;z-index:251748352;visibility:visible;mso-position-horizontal:righ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" fillcolor="#003b79" stroked="f" strokeweight="2pt">
          <v:path arrowok="t"/>
        </v:rect>
      </w:pict>
    </w:r>
    <w:r>
      <w:rPr>
        <w:rFonts w:ascii="Verdana" w:hAnsi="Verdana"/>
        <w:noProof/>
        <w:sz w:val="16"/>
        <w:szCs w:val="16"/>
        <w:lang w:val="sk-SK" w:eastAsia="sk-SK"/>
      </w:rPr>
      <w:pict>
        <v:rect id="Obdélník 27" o:spid="_x0000_s4102" style="position:absolute;margin-left:-.1pt;margin-top:6.8pt;width:114.25pt;height:2.8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" fillcolor="#ee7d11" stroked="f" strokeweight="2pt">
          <v:path arrowok="t"/>
        </v:rect>
      </w:pict>
    </w:r>
  </w:p>
  <w:p w:rsidR="00466C25" w:rsidRPr="006D4A1E" w:rsidRDefault="00466C25" w:rsidP="00D6378A">
    <w:pPr>
      <w:pStyle w:val="Pta"/>
      <w:rPr>
        <w:rFonts w:ascii="Verdana" w:hAnsi="Verdana"/>
        <w:b/>
        <w:sz w:val="16"/>
        <w:szCs w:val="16"/>
      </w:rPr>
    </w:pPr>
  </w:p>
  <w:p w:rsidR="00466C25" w:rsidRPr="006D4A1E" w:rsidRDefault="00466C25" w:rsidP="00D6378A">
    <w:pPr>
      <w:pStyle w:val="Pta"/>
      <w:spacing w:after="60"/>
      <w:rPr>
        <w:rFonts w:ascii="Verdana" w:hAnsi="Verdana"/>
        <w:sz w:val="16"/>
        <w:szCs w:val="16"/>
      </w:rPr>
    </w:pPr>
    <w:r w:rsidRPr="009C01D2">
      <w:rPr>
        <w:rFonts w:ascii="Verdana" w:hAnsi="Verdana"/>
        <w:b/>
        <w:sz w:val="16"/>
        <w:szCs w:val="16"/>
      </w:rPr>
      <w:t xml:space="preserve">Kontakt </w:t>
    </w:r>
    <w:proofErr w:type="spellStart"/>
    <w:r w:rsidRPr="009C01D2">
      <w:rPr>
        <w:rFonts w:ascii="Verdana" w:hAnsi="Verdana"/>
        <w:b/>
        <w:sz w:val="16"/>
        <w:szCs w:val="16"/>
      </w:rPr>
      <w:t>pre</w:t>
    </w:r>
    <w:proofErr w:type="spellEnd"/>
    <w:r w:rsidRPr="009C01D2">
      <w:rPr>
        <w:rFonts w:ascii="Verdana" w:hAnsi="Verdana"/>
        <w:b/>
        <w:sz w:val="16"/>
        <w:szCs w:val="16"/>
      </w:rPr>
      <w:t xml:space="preserve"> </w:t>
    </w:r>
    <w:proofErr w:type="spellStart"/>
    <w:r w:rsidRPr="009C01D2">
      <w:rPr>
        <w:rFonts w:ascii="Verdana" w:hAnsi="Verdana"/>
        <w:b/>
        <w:sz w:val="16"/>
        <w:szCs w:val="16"/>
      </w:rPr>
      <w:t>médiá</w:t>
    </w:r>
    <w:proofErr w:type="spellEnd"/>
    <w:r w:rsidRPr="006D4A1E">
      <w:rPr>
        <w:rFonts w:ascii="Verdana" w:hAnsi="Verdana"/>
        <w:sz w:val="16"/>
        <w:szCs w:val="16"/>
      </w:rPr>
      <w:t xml:space="preserve"> </w:t>
    </w:r>
  </w:p>
  <w:p w:rsidR="00466C25" w:rsidRDefault="007066C5" w:rsidP="00D6378A">
    <w:pPr>
      <w:pStyle w:val="Pta"/>
      <w:spacing w:line="286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Eva </w:t>
    </w:r>
    <w:proofErr w:type="spellStart"/>
    <w:r>
      <w:rPr>
        <w:rFonts w:ascii="Verdana" w:hAnsi="Verdana"/>
        <w:sz w:val="16"/>
        <w:szCs w:val="16"/>
      </w:rPr>
      <w:t>Vavrincová</w:t>
    </w:r>
    <w:proofErr w:type="spellEnd"/>
    <w:r w:rsidR="00466C25" w:rsidRPr="009C01D2">
      <w:rPr>
        <w:rFonts w:ascii="Verdana" w:hAnsi="Verdana"/>
        <w:sz w:val="16"/>
        <w:szCs w:val="16"/>
      </w:rPr>
      <w:t xml:space="preserve">, Media In, </w:t>
    </w:r>
    <w:r>
      <w:rPr>
        <w:rFonts w:ascii="Verdana" w:hAnsi="Verdana"/>
        <w:sz w:val="16"/>
        <w:szCs w:val="16"/>
      </w:rPr>
      <w:t>tel.: 0911 365 444</w:t>
    </w:r>
    <w:r w:rsidR="00466C25">
      <w:rPr>
        <w:rFonts w:ascii="Verdana" w:hAnsi="Verdana"/>
        <w:sz w:val="16"/>
        <w:szCs w:val="16"/>
      </w:rPr>
      <w:t xml:space="preserve">, e-mail: </w:t>
    </w:r>
    <w:r>
      <w:rPr>
        <w:rStyle w:val="Hypertextovprepojenie"/>
        <w:rFonts w:ascii="Verdana" w:hAnsi="Verdana" w:cs="Times New Roman"/>
        <w:sz w:val="16"/>
        <w:szCs w:val="16"/>
      </w:rPr>
      <w:t>eva.vavrin</w:t>
    </w:r>
    <w:r w:rsidR="00466C25" w:rsidRPr="00AA2676">
      <w:rPr>
        <w:rStyle w:val="Hypertextovprepojenie"/>
        <w:rFonts w:ascii="Verdana" w:hAnsi="Verdana" w:cs="Times New Roman"/>
        <w:sz w:val="16"/>
        <w:szCs w:val="16"/>
      </w:rPr>
      <w:t>cova@cohnwolfe.sk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25" w:rsidRDefault="00466C25" w:rsidP="00334255">
    <w:pPr>
      <w:pStyle w:val="Pta"/>
      <w:rPr>
        <w:rFonts w:ascii="Verdana" w:hAnsi="Verdana"/>
        <w:sz w:val="16"/>
        <w:szCs w:val="16"/>
      </w:rPr>
    </w:pPr>
  </w:p>
  <w:p w:rsidR="00466C25" w:rsidRPr="006D4A1E" w:rsidRDefault="00F75573" w:rsidP="00334255">
    <w:pPr>
      <w:pStyle w:val="Pt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val="sk-SK" w:eastAsia="sk-SK"/>
      </w:rPr>
      <w:pict>
        <v:rect id="Obdélník 9" o:spid="_x0000_s4098" style="position:absolute;margin-left:889.25pt;margin-top:6.8pt;width:340.15pt;height:2.85pt;z-index:251692032;visibility:visible;mso-position-horizontal:righ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" fillcolor="#003b79" stroked="f" strokeweight="2pt">
          <v:path arrowok="t"/>
        </v:rect>
      </w:pict>
    </w:r>
    <w:r>
      <w:rPr>
        <w:rFonts w:ascii="Verdana" w:hAnsi="Verdana"/>
        <w:noProof/>
        <w:sz w:val="16"/>
        <w:szCs w:val="16"/>
        <w:lang w:val="sk-SK" w:eastAsia="sk-SK"/>
      </w:rPr>
      <w:pict>
        <v:rect id="Obdélník 8" o:spid="_x0000_s4097" style="position:absolute;margin-left:-.1pt;margin-top:6.8pt;width:114.25pt;height:2.8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" fillcolor="#ee7d11" stroked="f" strokeweight="2pt">
          <v:path arrowok="t"/>
        </v:rect>
      </w:pict>
    </w:r>
  </w:p>
  <w:p w:rsidR="00466C25" w:rsidRPr="006D4A1E" w:rsidRDefault="00466C25" w:rsidP="00334255">
    <w:pPr>
      <w:pStyle w:val="Pta"/>
      <w:rPr>
        <w:rFonts w:ascii="Verdana" w:hAnsi="Verdana"/>
        <w:b/>
        <w:sz w:val="16"/>
        <w:szCs w:val="16"/>
      </w:rPr>
    </w:pPr>
  </w:p>
  <w:p w:rsidR="00466C25" w:rsidRPr="006D4A1E" w:rsidRDefault="00466C25" w:rsidP="007D6F20">
    <w:pPr>
      <w:pStyle w:val="Pta"/>
      <w:spacing w:after="60"/>
      <w:rPr>
        <w:rFonts w:ascii="Verdana" w:hAnsi="Verdana"/>
        <w:sz w:val="16"/>
        <w:szCs w:val="16"/>
      </w:rPr>
    </w:pPr>
    <w:r w:rsidRPr="009C01D2">
      <w:rPr>
        <w:rFonts w:ascii="Verdana" w:hAnsi="Verdana"/>
        <w:b/>
        <w:sz w:val="16"/>
        <w:szCs w:val="16"/>
      </w:rPr>
      <w:t xml:space="preserve">Kontakt </w:t>
    </w:r>
    <w:proofErr w:type="spellStart"/>
    <w:r w:rsidRPr="009C01D2">
      <w:rPr>
        <w:rFonts w:ascii="Verdana" w:hAnsi="Verdana"/>
        <w:b/>
        <w:sz w:val="16"/>
        <w:szCs w:val="16"/>
      </w:rPr>
      <w:t>pre</w:t>
    </w:r>
    <w:proofErr w:type="spellEnd"/>
    <w:r w:rsidRPr="009C01D2">
      <w:rPr>
        <w:rFonts w:ascii="Verdana" w:hAnsi="Verdana"/>
        <w:b/>
        <w:sz w:val="16"/>
        <w:szCs w:val="16"/>
      </w:rPr>
      <w:t xml:space="preserve"> </w:t>
    </w:r>
    <w:proofErr w:type="spellStart"/>
    <w:r w:rsidRPr="009C01D2">
      <w:rPr>
        <w:rFonts w:ascii="Verdana" w:hAnsi="Verdana"/>
        <w:b/>
        <w:sz w:val="16"/>
        <w:szCs w:val="16"/>
      </w:rPr>
      <w:t>médiá</w:t>
    </w:r>
    <w:proofErr w:type="spellEnd"/>
    <w:r w:rsidRPr="006D4A1E">
      <w:rPr>
        <w:rFonts w:ascii="Verdana" w:hAnsi="Verdana"/>
        <w:sz w:val="16"/>
        <w:szCs w:val="16"/>
      </w:rPr>
      <w:t xml:space="preserve"> </w:t>
    </w:r>
  </w:p>
  <w:p w:rsidR="00466C25" w:rsidRDefault="007066C5" w:rsidP="007D6F20">
    <w:pPr>
      <w:pStyle w:val="Pta"/>
      <w:spacing w:line="286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Eva </w:t>
    </w:r>
    <w:proofErr w:type="spellStart"/>
    <w:r>
      <w:rPr>
        <w:rFonts w:ascii="Verdana" w:hAnsi="Verdana"/>
        <w:sz w:val="16"/>
        <w:szCs w:val="16"/>
      </w:rPr>
      <w:t>Vavrincová</w:t>
    </w:r>
    <w:proofErr w:type="spellEnd"/>
    <w:r w:rsidR="00466C25" w:rsidRPr="009C01D2">
      <w:rPr>
        <w:rFonts w:ascii="Verdana" w:hAnsi="Verdana"/>
        <w:sz w:val="16"/>
        <w:szCs w:val="16"/>
      </w:rPr>
      <w:t xml:space="preserve">, Media In, </w:t>
    </w:r>
    <w:r>
      <w:rPr>
        <w:rFonts w:ascii="Verdana" w:hAnsi="Verdana"/>
        <w:sz w:val="16"/>
        <w:szCs w:val="16"/>
      </w:rPr>
      <w:t>tel.: 0911 365 444</w:t>
    </w:r>
    <w:r w:rsidR="00466C25">
      <w:rPr>
        <w:rFonts w:ascii="Verdana" w:hAnsi="Verdana"/>
        <w:sz w:val="16"/>
        <w:szCs w:val="16"/>
      </w:rPr>
      <w:t xml:space="preserve">, e-mail: </w:t>
    </w:r>
    <w:r>
      <w:rPr>
        <w:rStyle w:val="Hypertextovprepojenie"/>
        <w:rFonts w:ascii="Verdana" w:hAnsi="Verdana" w:cs="Times New Roman"/>
        <w:sz w:val="16"/>
        <w:szCs w:val="16"/>
      </w:rPr>
      <w:t>eva.vavrin</w:t>
    </w:r>
    <w:r w:rsidR="00466C25" w:rsidRPr="00AA2676">
      <w:rPr>
        <w:rStyle w:val="Hypertextovprepojenie"/>
        <w:rFonts w:ascii="Verdana" w:hAnsi="Verdana" w:cs="Times New Roman"/>
        <w:sz w:val="16"/>
        <w:szCs w:val="16"/>
      </w:rPr>
      <w:t>cova@cohnwolfe.sk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CF" w:rsidRDefault="00276ACF" w:rsidP="00A664E4">
      <w:r>
        <w:separator/>
      </w:r>
    </w:p>
  </w:footnote>
  <w:footnote w:type="continuationSeparator" w:id="0">
    <w:p w:rsidR="00276ACF" w:rsidRDefault="00276ACF" w:rsidP="00A66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25" w:rsidRPr="006F67B0" w:rsidRDefault="00466C25" w:rsidP="00D6378A">
    <w:pPr>
      <w:pStyle w:val="Hlavika"/>
      <w:rPr>
        <w:rFonts w:ascii="Verdana" w:hAnsi="Verdana"/>
        <w:sz w:val="23"/>
        <w:szCs w:val="23"/>
      </w:rPr>
    </w:pPr>
    <w:r>
      <w:rPr>
        <w:noProof/>
        <w:lang w:val="sk-SK" w:eastAsia="sk-SK"/>
      </w:rPr>
      <w:drawing>
        <wp:anchor distT="0" distB="0" distL="114300" distR="114300" simplePos="0" relativeHeight="25174528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55200" cy="504000"/>
          <wp:effectExtent l="0" t="0" r="6985" b="0"/>
          <wp:wrapNone/>
          <wp:docPr id="24" name="obrázek 3" descr="C:\Users\user\Documents\Grafika\CCB\Tiskové zprávy\2013-7-17 Layout tlacovych sprav - Katarína Morsztynová - SK\WMF pro Word - Windows Metafile\CRIF-Slovak_vlk-mk_101_RGB_WMF_w1000m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Grafika\CCB\Tiskové zprávy\2013-7-17 Layout tlacovych sprav - Katarína Morsztynová - SK\WMF pro Word - Windows Metafile\CRIF-Slovak_vlk-mk_101_RGB_WMF_w1000mm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67B0">
      <w:rPr>
        <w:rFonts w:ascii="Verdana" w:hAnsi="Verdana"/>
        <w:sz w:val="23"/>
        <w:szCs w:val="23"/>
      </w:rPr>
      <w:t xml:space="preserve">             </w:t>
    </w:r>
  </w:p>
  <w:p w:rsidR="00466C25" w:rsidRPr="006F67B0" w:rsidRDefault="00466C25" w:rsidP="00D6378A">
    <w:pPr>
      <w:pStyle w:val="Hlavika"/>
      <w:rPr>
        <w:rFonts w:ascii="Verdana" w:hAnsi="Verdana"/>
        <w:sz w:val="23"/>
        <w:szCs w:val="23"/>
      </w:rPr>
    </w:pPr>
  </w:p>
  <w:p w:rsidR="00466C25" w:rsidRPr="006F67B0" w:rsidRDefault="00466C25" w:rsidP="00D6378A">
    <w:pPr>
      <w:pStyle w:val="Hlavika"/>
      <w:rPr>
        <w:rFonts w:ascii="Verdana" w:hAnsi="Verdana"/>
        <w:sz w:val="23"/>
        <w:szCs w:val="23"/>
      </w:rPr>
    </w:pPr>
  </w:p>
  <w:p w:rsidR="00466C25" w:rsidRPr="006F67B0" w:rsidRDefault="00466C25" w:rsidP="00D6378A">
    <w:pPr>
      <w:pStyle w:val="Hlavika"/>
      <w:rPr>
        <w:rFonts w:ascii="Verdana" w:hAnsi="Verdana"/>
        <w:sz w:val="23"/>
        <w:szCs w:val="23"/>
      </w:rPr>
    </w:pPr>
  </w:p>
  <w:p w:rsidR="00466C25" w:rsidRPr="004249C2" w:rsidRDefault="00466C25" w:rsidP="00D6378A">
    <w:pPr>
      <w:pStyle w:val="Hlavika"/>
      <w:spacing w:before="40"/>
      <w:ind w:right="170"/>
      <w:jc w:val="right"/>
      <w:rPr>
        <w:rFonts w:ascii="Verdana" w:hAnsi="Verdana"/>
        <w:b/>
        <w:sz w:val="16"/>
        <w:szCs w:val="16"/>
      </w:rPr>
    </w:pPr>
    <w:r>
      <w:rPr>
        <w:noProof/>
        <w:lang w:val="sk-SK" w:eastAsia="sk-SK"/>
      </w:rPr>
      <w:drawing>
        <wp:anchor distT="0" distB="0" distL="114300" distR="114300" simplePos="0" relativeHeight="251743232" behindDoc="0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33020</wp:posOffset>
          </wp:positionV>
          <wp:extent cx="1443355" cy="121920"/>
          <wp:effectExtent l="0" t="0" r="444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ačová_správa_102_Layers_Text_Edit_Handle-Gothic__Text-Obrysy__Horizontal_roztazeno_120__Zkoseni_34__w1000m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12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573" w:rsidRPr="00F75573">
      <w:rPr>
        <w:rFonts w:ascii="Verdana" w:hAnsi="Verdana"/>
        <w:noProof/>
        <w:lang w:val="sk-SK" w:eastAsia="sk-SK"/>
      </w:rPr>
      <w:pict>
        <v:rect id="Obdélník 12" o:spid="_x0000_s4105" style="position:absolute;left:0;text-align:left;margin-left:.25pt;margin-top:.25pt;width:114.3pt;height:13.75pt;z-index:-251576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" fillcolor="#ee7d11" stroked="f" strokeweight="2pt">
          <v:path arrowok="t"/>
        </v:rect>
      </w:pict>
    </w:r>
    <w:r w:rsidR="00F75573" w:rsidRPr="00F75573">
      <w:rPr>
        <w:rFonts w:ascii="Verdana" w:hAnsi="Verdana"/>
        <w:noProof/>
        <w:lang w:val="sk-SK" w:eastAsia="sk-SK"/>
      </w:rPr>
      <w:pict>
        <v:rect id="Obdélník 15" o:spid="_x0000_s4104" style="position:absolute;left:0;text-align:left;margin-left:114.6pt;margin-top:.25pt;width:338.8pt;height:13.75pt;z-index:-251575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" fillcolor="#003b79" stroked="f" strokeweight="2pt">
          <v:path arrowok="t"/>
        </v:rect>
      </w:pict>
    </w:r>
    <w:r>
      <w:rPr>
        <w:rFonts w:ascii="Verdana" w:hAnsi="Verdana"/>
      </w:rPr>
      <w:t xml:space="preserve">                                                                                                            </w:t>
    </w:r>
    <w:r w:rsidR="00F75573"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fldChar w:fldCharType="begin"/>
    </w:r>
    <w:r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instrText>PAGE  \* Arabic  \* MERGEFORMAT</w:instrText>
    </w:r>
    <w:r w:rsidR="00F75573"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fldChar w:fldCharType="separate"/>
    </w:r>
    <w:r w:rsidR="00322B02">
      <w:rPr>
        <w:rFonts w:ascii="Verdana" w:eastAsiaTheme="majorEastAsia" w:hAnsi="Verdana" w:cstheme="majorBidi"/>
        <w:b/>
        <w:noProof/>
        <w:color w:val="FFFFFF" w:themeColor="background1"/>
        <w:sz w:val="16"/>
        <w:szCs w:val="16"/>
      </w:rPr>
      <w:t>5</w:t>
    </w:r>
    <w:r w:rsidR="00F75573"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fldChar w:fldCharType="end"/>
    </w:r>
    <w:r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t xml:space="preserve"> z </w:t>
    </w:r>
    <w:fldSimple w:instr="NUMPAGES  \* Arabic  \* MERGEFORMAT">
      <w:r w:rsidR="00322B02" w:rsidRPr="00322B02">
        <w:rPr>
          <w:rFonts w:ascii="Verdana" w:eastAsiaTheme="majorEastAsia" w:hAnsi="Verdana" w:cstheme="majorBidi"/>
          <w:b/>
          <w:noProof/>
          <w:color w:val="FFFFFF" w:themeColor="background1"/>
          <w:sz w:val="16"/>
          <w:szCs w:val="16"/>
        </w:rPr>
        <w:t>5</w:t>
      </w:r>
    </w:fldSimple>
    <w:r w:rsidRPr="004249C2">
      <w:rPr>
        <w:rFonts w:ascii="Verdana" w:hAnsi="Verdana"/>
        <w:b/>
        <w:color w:val="FFFFFF" w:themeColor="background1"/>
        <w:sz w:val="16"/>
        <w:szCs w:val="16"/>
      </w:rPr>
      <w:t xml:space="preserve">    </w:t>
    </w:r>
  </w:p>
  <w:p w:rsidR="00466C25" w:rsidRPr="00815755" w:rsidRDefault="00466C25" w:rsidP="00D6378A">
    <w:pPr>
      <w:pStyle w:val="Hlavika"/>
      <w:spacing w:before="40"/>
      <w:rPr>
        <w:rFonts w:ascii="Verdana" w:hAnsi="Verdana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25" w:rsidRPr="006F67B0" w:rsidRDefault="00466C25" w:rsidP="00C5348E">
    <w:pPr>
      <w:pStyle w:val="Hlavika"/>
      <w:rPr>
        <w:rFonts w:ascii="Verdana" w:hAnsi="Verdana"/>
        <w:sz w:val="23"/>
        <w:szCs w:val="23"/>
      </w:rPr>
    </w:pPr>
    <w:r>
      <w:rPr>
        <w:noProof/>
        <w:lang w:val="sk-SK" w:eastAsia="sk-SK"/>
      </w:rPr>
      <w:drawing>
        <wp:anchor distT="0" distB="0" distL="114300" distR="114300" simplePos="0" relativeHeight="25173811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55200" cy="504000"/>
          <wp:effectExtent l="0" t="0" r="6985" b="0"/>
          <wp:wrapNone/>
          <wp:docPr id="11" name="obrázek 3" descr="C:\Users\user\Documents\Grafika\CCB\Tiskové zprávy\2013-7-17 Layout tlacovych sprav - Katarína Morsztynová - SK\WMF pro Word - Windows Metafile\CRIF-Slovak_vlk-mk_101_RGB_WMF_w1000m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Grafika\CCB\Tiskové zprávy\2013-7-17 Layout tlacovych sprav - Katarína Morsztynová - SK\WMF pro Word - Windows Metafile\CRIF-Slovak_vlk-mk_101_RGB_WMF_w1000mm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67B0">
      <w:rPr>
        <w:rFonts w:ascii="Verdana" w:hAnsi="Verdana"/>
        <w:sz w:val="23"/>
        <w:szCs w:val="23"/>
      </w:rPr>
      <w:t xml:space="preserve">             </w:t>
    </w:r>
  </w:p>
  <w:p w:rsidR="00466C25" w:rsidRPr="006F67B0" w:rsidRDefault="00466C25" w:rsidP="00C5348E">
    <w:pPr>
      <w:pStyle w:val="Hlavika"/>
      <w:rPr>
        <w:rFonts w:ascii="Verdana" w:hAnsi="Verdana"/>
        <w:sz w:val="23"/>
        <w:szCs w:val="23"/>
      </w:rPr>
    </w:pPr>
  </w:p>
  <w:p w:rsidR="00466C25" w:rsidRPr="006F67B0" w:rsidRDefault="00466C25" w:rsidP="00C5348E">
    <w:pPr>
      <w:pStyle w:val="Hlavika"/>
      <w:rPr>
        <w:rFonts w:ascii="Verdana" w:hAnsi="Verdana"/>
        <w:sz w:val="23"/>
        <w:szCs w:val="23"/>
      </w:rPr>
    </w:pPr>
  </w:p>
  <w:p w:rsidR="00466C25" w:rsidRPr="006F67B0" w:rsidRDefault="00466C25" w:rsidP="00C5348E">
    <w:pPr>
      <w:pStyle w:val="Hlavika"/>
      <w:rPr>
        <w:rFonts w:ascii="Verdana" w:hAnsi="Verdana"/>
        <w:sz w:val="23"/>
        <w:szCs w:val="23"/>
      </w:rPr>
    </w:pPr>
  </w:p>
  <w:p w:rsidR="00466C25" w:rsidRPr="004249C2" w:rsidRDefault="00466C25" w:rsidP="00C5348E">
    <w:pPr>
      <w:pStyle w:val="Hlavika"/>
      <w:spacing w:before="40"/>
      <w:ind w:right="170"/>
      <w:jc w:val="right"/>
      <w:rPr>
        <w:rFonts w:ascii="Verdana" w:hAnsi="Verdana"/>
        <w:b/>
        <w:sz w:val="16"/>
        <w:szCs w:val="16"/>
      </w:rPr>
    </w:pPr>
    <w:r>
      <w:rPr>
        <w:noProof/>
        <w:lang w:val="sk-SK" w:eastAsia="sk-SK"/>
      </w:rPr>
      <w:drawing>
        <wp:anchor distT="0" distB="0" distL="114300" distR="114300" simplePos="0" relativeHeight="251716608" behindDoc="0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33020</wp:posOffset>
          </wp:positionV>
          <wp:extent cx="1443355" cy="121920"/>
          <wp:effectExtent l="0" t="0" r="444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ačová_správa_102_Layers_Text_Edit_Handle-Gothic__Text-Obrysy__Horizontal_roztazeno_120__Zkoseni_34__w1000m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12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573" w:rsidRPr="00F75573">
      <w:rPr>
        <w:rFonts w:ascii="Verdana" w:hAnsi="Verdana"/>
        <w:noProof/>
        <w:lang w:val="sk-SK" w:eastAsia="sk-SK"/>
      </w:rPr>
      <w:pict>
        <v:rect id="Obdélník 3" o:spid="_x0000_s4101" style="position:absolute;left:0;text-align:left;margin-left:.25pt;margin-top:.25pt;width:114.3pt;height:13.75pt;z-index:-25166131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" fillcolor="#ee7d11" stroked="f" strokeweight="2pt">
          <v:path arrowok="t"/>
        </v:rect>
      </w:pict>
    </w:r>
    <w:r w:rsidR="00F75573" w:rsidRPr="00F75573">
      <w:rPr>
        <w:rFonts w:ascii="Verdana" w:hAnsi="Verdana"/>
        <w:noProof/>
        <w:lang w:val="sk-SK" w:eastAsia="sk-SK"/>
      </w:rPr>
      <w:pict>
        <v:rect id="Obdélník 2" o:spid="_x0000_s4100" style="position:absolute;left:0;text-align:left;margin-left:114.6pt;margin-top:.25pt;width:338.8pt;height:13.75pt;z-index:-25166028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" fillcolor="#003b79" stroked="f" strokeweight="2pt">
          <v:path arrowok="t"/>
        </v:rect>
      </w:pict>
    </w:r>
    <w:r w:rsidR="00F75573" w:rsidRPr="00F75573">
      <w:rPr>
        <w:rFonts w:ascii="Verdana" w:hAnsi="Verdana"/>
        <w:noProof/>
        <w:lang w:val="sk-SK" w:eastAsia="sk-SK"/>
      </w:rPr>
      <w:pict>
        <v:rect id="Obdélník 38" o:spid="_x0000_s4099" style="position:absolute;left:0;text-align:left;margin-left:419.35pt;margin-top:1.4pt;width:28.35pt;height:11.3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" fillcolor="#003b79" stroked="f" strokeweight="2pt">
          <v:path arrowok="t"/>
        </v:rect>
      </w:pict>
    </w:r>
    <w:r>
      <w:rPr>
        <w:rFonts w:ascii="Verdana" w:hAnsi="Verdana"/>
      </w:rPr>
      <w:t xml:space="preserve">                                                                                                            </w:t>
    </w:r>
    <w:r w:rsidR="00F75573"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fldChar w:fldCharType="begin"/>
    </w:r>
    <w:r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instrText>PAGE  \* Arabic  \* MERGEFORMAT</w:instrText>
    </w:r>
    <w:r w:rsidR="00F75573"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fldChar w:fldCharType="separate"/>
    </w:r>
    <w:r w:rsidR="00322B02">
      <w:rPr>
        <w:rFonts w:ascii="Verdana" w:eastAsiaTheme="majorEastAsia" w:hAnsi="Verdana" w:cstheme="majorBidi"/>
        <w:b/>
        <w:noProof/>
        <w:color w:val="FFFFFF" w:themeColor="background1"/>
        <w:sz w:val="16"/>
        <w:szCs w:val="16"/>
      </w:rPr>
      <w:t>1</w:t>
    </w:r>
    <w:r w:rsidR="00F75573"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fldChar w:fldCharType="end"/>
    </w:r>
    <w:r w:rsidRPr="00F219C2">
      <w:rPr>
        <w:rFonts w:ascii="Verdana" w:eastAsiaTheme="majorEastAsia" w:hAnsi="Verdana" w:cstheme="majorBidi"/>
        <w:b/>
        <w:color w:val="FFFFFF" w:themeColor="background1"/>
        <w:sz w:val="16"/>
        <w:szCs w:val="16"/>
      </w:rPr>
      <w:t xml:space="preserve"> z </w:t>
    </w:r>
    <w:fldSimple w:instr="NUMPAGES  \* Arabic  \* MERGEFORMAT">
      <w:r w:rsidR="00322B02" w:rsidRPr="00322B02">
        <w:rPr>
          <w:rFonts w:ascii="Verdana" w:eastAsiaTheme="majorEastAsia" w:hAnsi="Verdana" w:cstheme="majorBidi"/>
          <w:b/>
          <w:noProof/>
          <w:color w:val="FFFFFF" w:themeColor="background1"/>
          <w:sz w:val="16"/>
          <w:szCs w:val="16"/>
        </w:rPr>
        <w:t>1</w:t>
      </w:r>
    </w:fldSimple>
    <w:r w:rsidRPr="004249C2">
      <w:rPr>
        <w:rFonts w:ascii="Verdana" w:hAnsi="Verdana"/>
        <w:b/>
        <w:color w:val="FFFFFF" w:themeColor="background1"/>
        <w:sz w:val="16"/>
        <w:szCs w:val="16"/>
      </w:rPr>
      <w:t xml:space="preserve">    </w:t>
    </w:r>
  </w:p>
  <w:p w:rsidR="00466C25" w:rsidRPr="00815755" w:rsidRDefault="00466C25" w:rsidP="00815755">
    <w:pPr>
      <w:pStyle w:val="Hlavika"/>
      <w:spacing w:before="40"/>
      <w:rPr>
        <w:rFonts w:ascii="Verdana" w:hAnsi="Verdan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64E4"/>
    <w:rsid w:val="0000140E"/>
    <w:rsid w:val="000020D4"/>
    <w:rsid w:val="000100AA"/>
    <w:rsid w:val="00010FE2"/>
    <w:rsid w:val="0002653A"/>
    <w:rsid w:val="00030065"/>
    <w:rsid w:val="00032BC2"/>
    <w:rsid w:val="00035CA3"/>
    <w:rsid w:val="000402D2"/>
    <w:rsid w:val="00041AAB"/>
    <w:rsid w:val="00044BB5"/>
    <w:rsid w:val="00050FDE"/>
    <w:rsid w:val="000559C6"/>
    <w:rsid w:val="0006094D"/>
    <w:rsid w:val="00063278"/>
    <w:rsid w:val="00066BF3"/>
    <w:rsid w:val="00067D56"/>
    <w:rsid w:val="00067F31"/>
    <w:rsid w:val="0007384A"/>
    <w:rsid w:val="00076455"/>
    <w:rsid w:val="000870E2"/>
    <w:rsid w:val="00094678"/>
    <w:rsid w:val="0009734A"/>
    <w:rsid w:val="000B00BC"/>
    <w:rsid w:val="000C1E82"/>
    <w:rsid w:val="000C2A46"/>
    <w:rsid w:val="000C3167"/>
    <w:rsid w:val="000C3216"/>
    <w:rsid w:val="000C5019"/>
    <w:rsid w:val="000D0B42"/>
    <w:rsid w:val="000F068A"/>
    <w:rsid w:val="000F152D"/>
    <w:rsid w:val="000F1F79"/>
    <w:rsid w:val="000F77C8"/>
    <w:rsid w:val="00101F91"/>
    <w:rsid w:val="00112ABC"/>
    <w:rsid w:val="00126913"/>
    <w:rsid w:val="00134E56"/>
    <w:rsid w:val="001363B4"/>
    <w:rsid w:val="00147090"/>
    <w:rsid w:val="00151759"/>
    <w:rsid w:val="00153033"/>
    <w:rsid w:val="001557C7"/>
    <w:rsid w:val="00164280"/>
    <w:rsid w:val="00164D1D"/>
    <w:rsid w:val="00170D25"/>
    <w:rsid w:val="00173995"/>
    <w:rsid w:val="0018319E"/>
    <w:rsid w:val="00184CAF"/>
    <w:rsid w:val="001868E4"/>
    <w:rsid w:val="00192BFE"/>
    <w:rsid w:val="00197857"/>
    <w:rsid w:val="00197CD9"/>
    <w:rsid w:val="001A20FD"/>
    <w:rsid w:val="001A5E93"/>
    <w:rsid w:val="001A6E4C"/>
    <w:rsid w:val="001B16FD"/>
    <w:rsid w:val="001B1793"/>
    <w:rsid w:val="001C08F8"/>
    <w:rsid w:val="001C587D"/>
    <w:rsid w:val="001D0C10"/>
    <w:rsid w:val="001D299A"/>
    <w:rsid w:val="001D2CE0"/>
    <w:rsid w:val="001E347B"/>
    <w:rsid w:val="001E59CE"/>
    <w:rsid w:val="001F7886"/>
    <w:rsid w:val="002038ED"/>
    <w:rsid w:val="00214470"/>
    <w:rsid w:val="00215D74"/>
    <w:rsid w:val="0021699D"/>
    <w:rsid w:val="002177D5"/>
    <w:rsid w:val="002250CC"/>
    <w:rsid w:val="0023144B"/>
    <w:rsid w:val="002315FE"/>
    <w:rsid w:val="0023340D"/>
    <w:rsid w:val="002373A6"/>
    <w:rsid w:val="00246983"/>
    <w:rsid w:val="00247205"/>
    <w:rsid w:val="00250B76"/>
    <w:rsid w:val="002547F3"/>
    <w:rsid w:val="00260B92"/>
    <w:rsid w:val="00267921"/>
    <w:rsid w:val="002720F9"/>
    <w:rsid w:val="002730B4"/>
    <w:rsid w:val="00273350"/>
    <w:rsid w:val="002738CA"/>
    <w:rsid w:val="00274F3F"/>
    <w:rsid w:val="00275E6E"/>
    <w:rsid w:val="00276ACF"/>
    <w:rsid w:val="00281A84"/>
    <w:rsid w:val="00281C7A"/>
    <w:rsid w:val="00284B38"/>
    <w:rsid w:val="00285C3F"/>
    <w:rsid w:val="0029039B"/>
    <w:rsid w:val="00291485"/>
    <w:rsid w:val="002A6EF4"/>
    <w:rsid w:val="002B012F"/>
    <w:rsid w:val="002B4A26"/>
    <w:rsid w:val="002B7F05"/>
    <w:rsid w:val="002C0BE7"/>
    <w:rsid w:val="002C5590"/>
    <w:rsid w:val="002C5DE9"/>
    <w:rsid w:val="002E54BA"/>
    <w:rsid w:val="002E587D"/>
    <w:rsid w:val="002F0876"/>
    <w:rsid w:val="002F6435"/>
    <w:rsid w:val="00301FAA"/>
    <w:rsid w:val="00302014"/>
    <w:rsid w:val="003047A1"/>
    <w:rsid w:val="003078FB"/>
    <w:rsid w:val="00322B02"/>
    <w:rsid w:val="00322F55"/>
    <w:rsid w:val="00325B13"/>
    <w:rsid w:val="003313CF"/>
    <w:rsid w:val="00334255"/>
    <w:rsid w:val="00334791"/>
    <w:rsid w:val="00341CCE"/>
    <w:rsid w:val="00344DDF"/>
    <w:rsid w:val="003476E7"/>
    <w:rsid w:val="0035185D"/>
    <w:rsid w:val="00354D0D"/>
    <w:rsid w:val="003635C7"/>
    <w:rsid w:val="00363836"/>
    <w:rsid w:val="00370801"/>
    <w:rsid w:val="00371303"/>
    <w:rsid w:val="00372630"/>
    <w:rsid w:val="00375916"/>
    <w:rsid w:val="003816E1"/>
    <w:rsid w:val="003849B4"/>
    <w:rsid w:val="00387FB6"/>
    <w:rsid w:val="003916C9"/>
    <w:rsid w:val="00392D35"/>
    <w:rsid w:val="003940D2"/>
    <w:rsid w:val="003B1201"/>
    <w:rsid w:val="003B4E03"/>
    <w:rsid w:val="003C2049"/>
    <w:rsid w:val="003C6670"/>
    <w:rsid w:val="003D677E"/>
    <w:rsid w:val="003E1430"/>
    <w:rsid w:val="003E789C"/>
    <w:rsid w:val="003F095D"/>
    <w:rsid w:val="004009BA"/>
    <w:rsid w:val="004025FD"/>
    <w:rsid w:val="00404BB0"/>
    <w:rsid w:val="00406AF5"/>
    <w:rsid w:val="00407CDE"/>
    <w:rsid w:val="004120BE"/>
    <w:rsid w:val="00412E34"/>
    <w:rsid w:val="00413E5C"/>
    <w:rsid w:val="00414914"/>
    <w:rsid w:val="00415B93"/>
    <w:rsid w:val="00421864"/>
    <w:rsid w:val="004225D6"/>
    <w:rsid w:val="0042402F"/>
    <w:rsid w:val="00424271"/>
    <w:rsid w:val="004249C2"/>
    <w:rsid w:val="0043211A"/>
    <w:rsid w:val="00436DDF"/>
    <w:rsid w:val="00441E9C"/>
    <w:rsid w:val="0044401D"/>
    <w:rsid w:val="00445735"/>
    <w:rsid w:val="00446C41"/>
    <w:rsid w:val="00446FA2"/>
    <w:rsid w:val="00452C45"/>
    <w:rsid w:val="00453307"/>
    <w:rsid w:val="00456BA1"/>
    <w:rsid w:val="0046086F"/>
    <w:rsid w:val="00461BBD"/>
    <w:rsid w:val="00462D5F"/>
    <w:rsid w:val="00466C25"/>
    <w:rsid w:val="0047592A"/>
    <w:rsid w:val="00475D75"/>
    <w:rsid w:val="004761D5"/>
    <w:rsid w:val="00481137"/>
    <w:rsid w:val="004833AC"/>
    <w:rsid w:val="00484D43"/>
    <w:rsid w:val="00487BFF"/>
    <w:rsid w:val="004A4A4A"/>
    <w:rsid w:val="004B014A"/>
    <w:rsid w:val="004B3FF2"/>
    <w:rsid w:val="004E5573"/>
    <w:rsid w:val="00501D19"/>
    <w:rsid w:val="00505FA6"/>
    <w:rsid w:val="005071E3"/>
    <w:rsid w:val="005113C2"/>
    <w:rsid w:val="00511F59"/>
    <w:rsid w:val="0051292A"/>
    <w:rsid w:val="00520244"/>
    <w:rsid w:val="005302B2"/>
    <w:rsid w:val="005356CB"/>
    <w:rsid w:val="005426FE"/>
    <w:rsid w:val="00542A25"/>
    <w:rsid w:val="005519A9"/>
    <w:rsid w:val="00557BA8"/>
    <w:rsid w:val="00562C81"/>
    <w:rsid w:val="0056509C"/>
    <w:rsid w:val="0057178F"/>
    <w:rsid w:val="005742FE"/>
    <w:rsid w:val="00577B2C"/>
    <w:rsid w:val="00586B30"/>
    <w:rsid w:val="005912B6"/>
    <w:rsid w:val="005923DE"/>
    <w:rsid w:val="00593251"/>
    <w:rsid w:val="00596396"/>
    <w:rsid w:val="005A6BEF"/>
    <w:rsid w:val="005B2933"/>
    <w:rsid w:val="005B7665"/>
    <w:rsid w:val="005C333E"/>
    <w:rsid w:val="005D5BEC"/>
    <w:rsid w:val="005D60E2"/>
    <w:rsid w:val="005E2E6F"/>
    <w:rsid w:val="005F0211"/>
    <w:rsid w:val="005F3118"/>
    <w:rsid w:val="005F3F24"/>
    <w:rsid w:val="005F3F97"/>
    <w:rsid w:val="005F4322"/>
    <w:rsid w:val="00602265"/>
    <w:rsid w:val="00602AE9"/>
    <w:rsid w:val="006110DE"/>
    <w:rsid w:val="0061125A"/>
    <w:rsid w:val="0061422E"/>
    <w:rsid w:val="00616EA8"/>
    <w:rsid w:val="006172A5"/>
    <w:rsid w:val="00617FF4"/>
    <w:rsid w:val="00624B01"/>
    <w:rsid w:val="00627F1F"/>
    <w:rsid w:val="00631C43"/>
    <w:rsid w:val="00635C6A"/>
    <w:rsid w:val="00635D1E"/>
    <w:rsid w:val="00640179"/>
    <w:rsid w:val="006405B0"/>
    <w:rsid w:val="00643210"/>
    <w:rsid w:val="0064584C"/>
    <w:rsid w:val="006546DA"/>
    <w:rsid w:val="00660B13"/>
    <w:rsid w:val="00660C67"/>
    <w:rsid w:val="006646FF"/>
    <w:rsid w:val="0066767A"/>
    <w:rsid w:val="0069251F"/>
    <w:rsid w:val="006A2FAB"/>
    <w:rsid w:val="006B3DBD"/>
    <w:rsid w:val="006B7D6D"/>
    <w:rsid w:val="006C1EE5"/>
    <w:rsid w:val="006C7416"/>
    <w:rsid w:val="006D142B"/>
    <w:rsid w:val="006D3F52"/>
    <w:rsid w:val="006D4A1E"/>
    <w:rsid w:val="006D4D04"/>
    <w:rsid w:val="006D7703"/>
    <w:rsid w:val="006D77A6"/>
    <w:rsid w:val="006E4D21"/>
    <w:rsid w:val="006E6C2D"/>
    <w:rsid w:val="006E79AD"/>
    <w:rsid w:val="006F38FA"/>
    <w:rsid w:val="006F41FE"/>
    <w:rsid w:val="006F53FC"/>
    <w:rsid w:val="006F67B0"/>
    <w:rsid w:val="006F7E89"/>
    <w:rsid w:val="006F7EC9"/>
    <w:rsid w:val="007066C5"/>
    <w:rsid w:val="00706D64"/>
    <w:rsid w:val="00712385"/>
    <w:rsid w:val="00714654"/>
    <w:rsid w:val="007169BB"/>
    <w:rsid w:val="0072479B"/>
    <w:rsid w:val="007257BF"/>
    <w:rsid w:val="0073614A"/>
    <w:rsid w:val="00737249"/>
    <w:rsid w:val="00745D1D"/>
    <w:rsid w:val="00746B95"/>
    <w:rsid w:val="00750E18"/>
    <w:rsid w:val="00753621"/>
    <w:rsid w:val="0075616D"/>
    <w:rsid w:val="00765BB6"/>
    <w:rsid w:val="00771435"/>
    <w:rsid w:val="00771FE6"/>
    <w:rsid w:val="0077570A"/>
    <w:rsid w:val="00777EE6"/>
    <w:rsid w:val="007910AB"/>
    <w:rsid w:val="007A250A"/>
    <w:rsid w:val="007A3F9D"/>
    <w:rsid w:val="007A5805"/>
    <w:rsid w:val="007A5E7D"/>
    <w:rsid w:val="007B4CC2"/>
    <w:rsid w:val="007B594B"/>
    <w:rsid w:val="007C1999"/>
    <w:rsid w:val="007C7961"/>
    <w:rsid w:val="007C7973"/>
    <w:rsid w:val="007D6F20"/>
    <w:rsid w:val="007E0754"/>
    <w:rsid w:val="007E5784"/>
    <w:rsid w:val="007F1CE2"/>
    <w:rsid w:val="00815755"/>
    <w:rsid w:val="00816822"/>
    <w:rsid w:val="008254A5"/>
    <w:rsid w:val="008268A5"/>
    <w:rsid w:val="00832678"/>
    <w:rsid w:val="008345B0"/>
    <w:rsid w:val="008504F8"/>
    <w:rsid w:val="0085564B"/>
    <w:rsid w:val="0085748D"/>
    <w:rsid w:val="00865B92"/>
    <w:rsid w:val="008665F0"/>
    <w:rsid w:val="00874F82"/>
    <w:rsid w:val="00875512"/>
    <w:rsid w:val="008934E7"/>
    <w:rsid w:val="008968CD"/>
    <w:rsid w:val="008A0301"/>
    <w:rsid w:val="008B5CE3"/>
    <w:rsid w:val="008C0C99"/>
    <w:rsid w:val="008C3596"/>
    <w:rsid w:val="008D3C8F"/>
    <w:rsid w:val="008E18AC"/>
    <w:rsid w:val="008E319E"/>
    <w:rsid w:val="008F031D"/>
    <w:rsid w:val="008F0C0B"/>
    <w:rsid w:val="008F3850"/>
    <w:rsid w:val="009023D0"/>
    <w:rsid w:val="00916D23"/>
    <w:rsid w:val="0091700F"/>
    <w:rsid w:val="0092660B"/>
    <w:rsid w:val="00940D9D"/>
    <w:rsid w:val="0094344E"/>
    <w:rsid w:val="00951AD0"/>
    <w:rsid w:val="00955C3D"/>
    <w:rsid w:val="00961279"/>
    <w:rsid w:val="009619B9"/>
    <w:rsid w:val="0096554C"/>
    <w:rsid w:val="0096644D"/>
    <w:rsid w:val="009764A3"/>
    <w:rsid w:val="009766C8"/>
    <w:rsid w:val="00984B32"/>
    <w:rsid w:val="009949CD"/>
    <w:rsid w:val="009B0761"/>
    <w:rsid w:val="009B1F54"/>
    <w:rsid w:val="009B2E3F"/>
    <w:rsid w:val="009B41A5"/>
    <w:rsid w:val="009B6899"/>
    <w:rsid w:val="009B711F"/>
    <w:rsid w:val="009C01D2"/>
    <w:rsid w:val="009C06B0"/>
    <w:rsid w:val="009E03B2"/>
    <w:rsid w:val="009F4941"/>
    <w:rsid w:val="009F4D62"/>
    <w:rsid w:val="009F6C41"/>
    <w:rsid w:val="00A06846"/>
    <w:rsid w:val="00A06FB0"/>
    <w:rsid w:val="00A13484"/>
    <w:rsid w:val="00A149D6"/>
    <w:rsid w:val="00A20339"/>
    <w:rsid w:val="00A26485"/>
    <w:rsid w:val="00A31CDB"/>
    <w:rsid w:val="00A44D25"/>
    <w:rsid w:val="00A45CD7"/>
    <w:rsid w:val="00A5678F"/>
    <w:rsid w:val="00A56828"/>
    <w:rsid w:val="00A57B7E"/>
    <w:rsid w:val="00A6455B"/>
    <w:rsid w:val="00A664E4"/>
    <w:rsid w:val="00A71A81"/>
    <w:rsid w:val="00A7565A"/>
    <w:rsid w:val="00A8412E"/>
    <w:rsid w:val="00A84C6A"/>
    <w:rsid w:val="00A97D44"/>
    <w:rsid w:val="00AA007C"/>
    <w:rsid w:val="00AA2676"/>
    <w:rsid w:val="00AA414D"/>
    <w:rsid w:val="00AB55B2"/>
    <w:rsid w:val="00AC2A75"/>
    <w:rsid w:val="00AC541B"/>
    <w:rsid w:val="00AD424C"/>
    <w:rsid w:val="00AD48B7"/>
    <w:rsid w:val="00AE02E9"/>
    <w:rsid w:val="00AE0C6B"/>
    <w:rsid w:val="00AE2865"/>
    <w:rsid w:val="00AE5092"/>
    <w:rsid w:val="00AE5246"/>
    <w:rsid w:val="00AE7074"/>
    <w:rsid w:val="00AF00C7"/>
    <w:rsid w:val="00AF125F"/>
    <w:rsid w:val="00AF34AE"/>
    <w:rsid w:val="00AF6D04"/>
    <w:rsid w:val="00B00037"/>
    <w:rsid w:val="00B0629B"/>
    <w:rsid w:val="00B069C4"/>
    <w:rsid w:val="00B07D26"/>
    <w:rsid w:val="00B07D6C"/>
    <w:rsid w:val="00B11061"/>
    <w:rsid w:val="00B14C60"/>
    <w:rsid w:val="00B1599B"/>
    <w:rsid w:val="00B2022B"/>
    <w:rsid w:val="00B23915"/>
    <w:rsid w:val="00B302A3"/>
    <w:rsid w:val="00B305A1"/>
    <w:rsid w:val="00B31EED"/>
    <w:rsid w:val="00B3308F"/>
    <w:rsid w:val="00B3399B"/>
    <w:rsid w:val="00B34062"/>
    <w:rsid w:val="00B347D5"/>
    <w:rsid w:val="00B34852"/>
    <w:rsid w:val="00B43D65"/>
    <w:rsid w:val="00B611CB"/>
    <w:rsid w:val="00B66EAA"/>
    <w:rsid w:val="00B719A9"/>
    <w:rsid w:val="00B74241"/>
    <w:rsid w:val="00B804B9"/>
    <w:rsid w:val="00B8331B"/>
    <w:rsid w:val="00B874B8"/>
    <w:rsid w:val="00B9157A"/>
    <w:rsid w:val="00B971F1"/>
    <w:rsid w:val="00B977C0"/>
    <w:rsid w:val="00BA6F17"/>
    <w:rsid w:val="00BB1150"/>
    <w:rsid w:val="00BB1AC6"/>
    <w:rsid w:val="00BB26FB"/>
    <w:rsid w:val="00BB5E79"/>
    <w:rsid w:val="00BB6578"/>
    <w:rsid w:val="00BC3A69"/>
    <w:rsid w:val="00BD0ADD"/>
    <w:rsid w:val="00BD14F6"/>
    <w:rsid w:val="00BD3E9C"/>
    <w:rsid w:val="00BD48BF"/>
    <w:rsid w:val="00BD74C5"/>
    <w:rsid w:val="00BE17B6"/>
    <w:rsid w:val="00BE371A"/>
    <w:rsid w:val="00BF31A5"/>
    <w:rsid w:val="00C00D9E"/>
    <w:rsid w:val="00C07701"/>
    <w:rsid w:val="00C11572"/>
    <w:rsid w:val="00C130A6"/>
    <w:rsid w:val="00C138EC"/>
    <w:rsid w:val="00C1498C"/>
    <w:rsid w:val="00C151F1"/>
    <w:rsid w:val="00C2604F"/>
    <w:rsid w:val="00C30187"/>
    <w:rsid w:val="00C33E64"/>
    <w:rsid w:val="00C43849"/>
    <w:rsid w:val="00C46344"/>
    <w:rsid w:val="00C51CD5"/>
    <w:rsid w:val="00C5348E"/>
    <w:rsid w:val="00C53677"/>
    <w:rsid w:val="00C542BD"/>
    <w:rsid w:val="00C7467D"/>
    <w:rsid w:val="00C80228"/>
    <w:rsid w:val="00C86DED"/>
    <w:rsid w:val="00C92257"/>
    <w:rsid w:val="00C946EA"/>
    <w:rsid w:val="00CA2F4B"/>
    <w:rsid w:val="00CC68D7"/>
    <w:rsid w:val="00CD01FE"/>
    <w:rsid w:val="00CD4649"/>
    <w:rsid w:val="00CE6B47"/>
    <w:rsid w:val="00CF02EB"/>
    <w:rsid w:val="00CF3333"/>
    <w:rsid w:val="00CF379B"/>
    <w:rsid w:val="00CF5396"/>
    <w:rsid w:val="00CF5670"/>
    <w:rsid w:val="00D01D59"/>
    <w:rsid w:val="00D03D77"/>
    <w:rsid w:val="00D05347"/>
    <w:rsid w:val="00D05806"/>
    <w:rsid w:val="00D071B7"/>
    <w:rsid w:val="00D154E6"/>
    <w:rsid w:val="00D1740F"/>
    <w:rsid w:val="00D233BC"/>
    <w:rsid w:val="00D3281E"/>
    <w:rsid w:val="00D35A5D"/>
    <w:rsid w:val="00D36254"/>
    <w:rsid w:val="00D4099E"/>
    <w:rsid w:val="00D53C2F"/>
    <w:rsid w:val="00D62D8B"/>
    <w:rsid w:val="00D6378A"/>
    <w:rsid w:val="00D67BBE"/>
    <w:rsid w:val="00D71C2E"/>
    <w:rsid w:val="00D72C79"/>
    <w:rsid w:val="00D80936"/>
    <w:rsid w:val="00D87B6C"/>
    <w:rsid w:val="00D9208A"/>
    <w:rsid w:val="00D932B7"/>
    <w:rsid w:val="00D93730"/>
    <w:rsid w:val="00D94632"/>
    <w:rsid w:val="00D956C8"/>
    <w:rsid w:val="00D96FFD"/>
    <w:rsid w:val="00DA0E3E"/>
    <w:rsid w:val="00DA2311"/>
    <w:rsid w:val="00DA2B60"/>
    <w:rsid w:val="00DB2B66"/>
    <w:rsid w:val="00DC7E25"/>
    <w:rsid w:val="00DD4155"/>
    <w:rsid w:val="00DE47BC"/>
    <w:rsid w:val="00DE4A34"/>
    <w:rsid w:val="00DF12B2"/>
    <w:rsid w:val="00DF7862"/>
    <w:rsid w:val="00E00E67"/>
    <w:rsid w:val="00E02101"/>
    <w:rsid w:val="00E03695"/>
    <w:rsid w:val="00E0723D"/>
    <w:rsid w:val="00E21C33"/>
    <w:rsid w:val="00E26D3C"/>
    <w:rsid w:val="00E27858"/>
    <w:rsid w:val="00E31125"/>
    <w:rsid w:val="00E378EF"/>
    <w:rsid w:val="00E41631"/>
    <w:rsid w:val="00E44891"/>
    <w:rsid w:val="00E44F7F"/>
    <w:rsid w:val="00E46ECB"/>
    <w:rsid w:val="00E47714"/>
    <w:rsid w:val="00E5060B"/>
    <w:rsid w:val="00E51BCE"/>
    <w:rsid w:val="00E545E7"/>
    <w:rsid w:val="00E5579C"/>
    <w:rsid w:val="00E5633E"/>
    <w:rsid w:val="00E63D22"/>
    <w:rsid w:val="00E70315"/>
    <w:rsid w:val="00E71053"/>
    <w:rsid w:val="00E74069"/>
    <w:rsid w:val="00E74A77"/>
    <w:rsid w:val="00E8482A"/>
    <w:rsid w:val="00E85892"/>
    <w:rsid w:val="00E9009E"/>
    <w:rsid w:val="00E97C0B"/>
    <w:rsid w:val="00EB0716"/>
    <w:rsid w:val="00EB472D"/>
    <w:rsid w:val="00EB799F"/>
    <w:rsid w:val="00EC0000"/>
    <w:rsid w:val="00ED0115"/>
    <w:rsid w:val="00ED14E0"/>
    <w:rsid w:val="00ED6053"/>
    <w:rsid w:val="00EE3585"/>
    <w:rsid w:val="00EE4292"/>
    <w:rsid w:val="00EF2C22"/>
    <w:rsid w:val="00EF3B92"/>
    <w:rsid w:val="00EF69B8"/>
    <w:rsid w:val="00F05C2A"/>
    <w:rsid w:val="00F17C61"/>
    <w:rsid w:val="00F219C2"/>
    <w:rsid w:val="00F248EA"/>
    <w:rsid w:val="00F34B02"/>
    <w:rsid w:val="00F43DF4"/>
    <w:rsid w:val="00F44F30"/>
    <w:rsid w:val="00F459F1"/>
    <w:rsid w:val="00F53A8C"/>
    <w:rsid w:val="00F5712B"/>
    <w:rsid w:val="00F60140"/>
    <w:rsid w:val="00F67A72"/>
    <w:rsid w:val="00F75573"/>
    <w:rsid w:val="00F758E1"/>
    <w:rsid w:val="00F76A1F"/>
    <w:rsid w:val="00F817A9"/>
    <w:rsid w:val="00F9086A"/>
    <w:rsid w:val="00F9580E"/>
    <w:rsid w:val="00FA0955"/>
    <w:rsid w:val="00FB065F"/>
    <w:rsid w:val="00FB5C9C"/>
    <w:rsid w:val="00FC02AD"/>
    <w:rsid w:val="00FC2237"/>
    <w:rsid w:val="00FC6F36"/>
    <w:rsid w:val="00FC6F70"/>
    <w:rsid w:val="00FD003A"/>
    <w:rsid w:val="00FD3704"/>
    <w:rsid w:val="00FD62C2"/>
    <w:rsid w:val="00FD6C43"/>
    <w:rsid w:val="00FE3EC0"/>
    <w:rsid w:val="00FF3BDE"/>
    <w:rsid w:val="00FF74DF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7D26"/>
    <w:rPr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4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64E4"/>
    <w:rPr>
      <w:sz w:val="22"/>
      <w:lang w:eastAsia="en-US"/>
    </w:rPr>
  </w:style>
  <w:style w:type="paragraph" w:styleId="Pta">
    <w:name w:val="footer"/>
    <w:basedOn w:val="Normlny"/>
    <w:link w:val="PtaChar"/>
    <w:unhideWhenUsed/>
    <w:rsid w:val="00A664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64E4"/>
    <w:rPr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7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858"/>
    <w:rPr>
      <w:rFonts w:ascii="Tahoma" w:hAnsi="Tahoma" w:cs="Tahoma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semiHidden/>
    <w:rsid w:val="002315FE"/>
    <w:pPr>
      <w:suppressAutoHyphens/>
      <w:ind w:firstLine="708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315FE"/>
    <w:rPr>
      <w:rFonts w:ascii="Arial" w:eastAsia="Times New Roman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17C61"/>
    <w:pPr>
      <w:ind w:left="720"/>
      <w:contextualSpacing/>
    </w:pPr>
  </w:style>
  <w:style w:type="character" w:styleId="Hypertextovprepojenie">
    <w:name w:val="Hyperlink"/>
    <w:semiHidden/>
    <w:rsid w:val="006D4A1E"/>
    <w:rPr>
      <w:rFonts w:ascii="Tahoma" w:hAnsi="Tahoma" w:cs="Tahoma"/>
      <w:strike w:val="0"/>
      <w:dstrike w:val="0"/>
      <w:color w:val="336291"/>
      <w:sz w:val="18"/>
      <w:szCs w:val="18"/>
      <w:u w:val="none"/>
    </w:rPr>
  </w:style>
  <w:style w:type="paragraph" w:customStyle="1" w:styleId="TUText">
    <w:name w:val="TU_Text"/>
    <w:basedOn w:val="Normlny"/>
    <w:rsid w:val="00F67A72"/>
    <w:pPr>
      <w:suppressAutoHyphens/>
      <w:spacing w:line="260" w:lineRule="exact"/>
    </w:pPr>
    <w:rPr>
      <w:rFonts w:ascii="Times New Roman" w:eastAsia="Times New Roman" w:hAnsi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7D26"/>
    <w:rPr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4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64E4"/>
    <w:rPr>
      <w:sz w:val="22"/>
      <w:lang w:eastAsia="en-US"/>
    </w:rPr>
  </w:style>
  <w:style w:type="paragraph" w:styleId="Pta">
    <w:name w:val="footer"/>
    <w:basedOn w:val="Normlny"/>
    <w:link w:val="PtaChar"/>
    <w:unhideWhenUsed/>
    <w:rsid w:val="00A664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64E4"/>
    <w:rPr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7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858"/>
    <w:rPr>
      <w:rFonts w:ascii="Tahoma" w:hAnsi="Tahoma" w:cs="Tahoma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semiHidden/>
    <w:rsid w:val="002315FE"/>
    <w:pPr>
      <w:suppressAutoHyphens/>
      <w:ind w:firstLine="708"/>
      <w:jc w:val="both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315FE"/>
    <w:rPr>
      <w:rFonts w:ascii="Arial" w:eastAsia="Times New Roman" w:hAnsi="Arial"/>
      <w:sz w:val="24"/>
      <w:szCs w:val="24"/>
      <w:lang w:val="x-none" w:eastAsia="ar-SA"/>
    </w:rPr>
  </w:style>
  <w:style w:type="paragraph" w:styleId="Odsekzoznamu">
    <w:name w:val="List Paragraph"/>
    <w:basedOn w:val="Normlny"/>
    <w:uiPriority w:val="34"/>
    <w:qFormat/>
    <w:rsid w:val="00F17C61"/>
    <w:pPr>
      <w:ind w:left="720"/>
      <w:contextualSpacing/>
    </w:pPr>
  </w:style>
  <w:style w:type="character" w:styleId="Hypertextovprepojenie">
    <w:name w:val="Hyperlink"/>
    <w:semiHidden/>
    <w:rsid w:val="006D4A1E"/>
    <w:rPr>
      <w:rFonts w:ascii="Tahoma" w:hAnsi="Tahoma" w:cs="Tahoma"/>
      <w:strike w:val="0"/>
      <w:dstrike w:val="0"/>
      <w:color w:val="336291"/>
      <w:sz w:val="18"/>
      <w:szCs w:val="18"/>
      <w:u w:val="none"/>
    </w:rPr>
  </w:style>
  <w:style w:type="paragraph" w:customStyle="1" w:styleId="TUText">
    <w:name w:val="TU_Text"/>
    <w:basedOn w:val="Normlny"/>
    <w:rsid w:val="00F67A72"/>
    <w:pPr>
      <w:suppressAutoHyphens/>
      <w:spacing w:line="260" w:lineRule="exact"/>
    </w:pPr>
    <w:rPr>
      <w:rFonts w:ascii="Times New Roman" w:eastAsia="Times New Roman" w:hAnsi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Jana\&#269;l&#225;nky\konkurzy%20a%20re&#353;trukturaliz&#225;cie\konkurzy%201.Q%202015\1.Q%202015%20podklady%20k%20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Jana\&#269;l&#225;nky\konkurzy%20a%20re&#353;trukturaliz&#225;cie\konkurzy%201.Q%202015\1.Q%202015%20podklady%20k%20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Jana\&#269;l&#225;nky\konkurzy%20a%20re&#353;trukturaliz&#225;cie\konkurzy%201.Q%202015\1.Q%202015%20podklady%20k%20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Jana\&#269;l&#225;nky\konkurzy%20a%20re&#353;trukturaliz&#225;cie\konkurzy%201.Q%202015\1.Q%202015%20podklady%20k%20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plotArea>
      <c:layout/>
      <c:barChart>
        <c:barDir val="col"/>
        <c:grouping val="clustered"/>
        <c:ser>
          <c:idx val="0"/>
          <c:order val="0"/>
          <c:tx>
            <c:strRef>
              <c:f>konkurzy!$B$17</c:f>
              <c:strCache>
                <c:ptCount val="1"/>
                <c:pt idx="0">
                  <c:v>1. Q 2014</c:v>
                </c:pt>
              </c:strCache>
            </c:strRef>
          </c:tx>
          <c:spPr>
            <a:solidFill>
              <a:srgbClr val="B0CEEF"/>
            </a:solidFill>
          </c:spPr>
          <c:cat>
            <c:strRef>
              <c:f>konkurzy!$A$18:$A$32</c:f>
              <c:strCache>
                <c:ptCount val="15"/>
                <c:pt idx="0">
                  <c:v>G</c:v>
                </c:pt>
                <c:pt idx="1">
                  <c:v>C</c:v>
                </c:pt>
                <c:pt idx="2">
                  <c:v>F</c:v>
                </c:pt>
                <c:pt idx="3">
                  <c:v>I</c:v>
                </c:pt>
                <c:pt idx="4">
                  <c:v>L</c:v>
                </c:pt>
                <c:pt idx="5">
                  <c:v>H</c:v>
                </c:pt>
                <c:pt idx="6">
                  <c:v>N</c:v>
                </c:pt>
                <c:pt idx="7">
                  <c:v>M</c:v>
                </c:pt>
                <c:pt idx="8">
                  <c:v>A</c:v>
                </c:pt>
                <c:pt idx="9">
                  <c:v>J</c:v>
                </c:pt>
                <c:pt idx="10">
                  <c:v>E</c:v>
                </c:pt>
                <c:pt idx="11">
                  <c:v>Q</c:v>
                </c:pt>
                <c:pt idx="12">
                  <c:v>R</c:v>
                </c:pt>
                <c:pt idx="13">
                  <c:v>S</c:v>
                </c:pt>
                <c:pt idx="14">
                  <c:v>K</c:v>
                </c:pt>
              </c:strCache>
            </c:strRef>
          </c:cat>
          <c:val>
            <c:numRef>
              <c:f>konkurzy!$B$18:$B$32</c:f>
              <c:numCache>
                <c:formatCode>General</c:formatCode>
                <c:ptCount val="15"/>
                <c:pt idx="0">
                  <c:v>36</c:v>
                </c:pt>
                <c:pt idx="1">
                  <c:v>17</c:v>
                </c:pt>
                <c:pt idx="2">
                  <c:v>12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13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1</c:v>
                </c:pt>
                <c:pt idx="11">
                  <c:v>2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konkurzy!$C$17</c:f>
              <c:strCache>
                <c:ptCount val="1"/>
                <c:pt idx="0">
                  <c:v>1. Q 2015</c:v>
                </c:pt>
              </c:strCache>
            </c:strRef>
          </c:tx>
          <c:spPr>
            <a:solidFill>
              <a:srgbClr val="003B79"/>
            </a:solidFill>
          </c:spPr>
          <c:cat>
            <c:strRef>
              <c:f>konkurzy!$A$18:$A$32</c:f>
              <c:strCache>
                <c:ptCount val="15"/>
                <c:pt idx="0">
                  <c:v>G</c:v>
                </c:pt>
                <c:pt idx="1">
                  <c:v>C</c:v>
                </c:pt>
                <c:pt idx="2">
                  <c:v>F</c:v>
                </c:pt>
                <c:pt idx="3">
                  <c:v>I</c:v>
                </c:pt>
                <c:pt idx="4">
                  <c:v>L</c:v>
                </c:pt>
                <c:pt idx="5">
                  <c:v>H</c:v>
                </c:pt>
                <c:pt idx="6">
                  <c:v>N</c:v>
                </c:pt>
                <c:pt idx="7">
                  <c:v>M</c:v>
                </c:pt>
                <c:pt idx="8">
                  <c:v>A</c:v>
                </c:pt>
                <c:pt idx="9">
                  <c:v>J</c:v>
                </c:pt>
                <c:pt idx="10">
                  <c:v>E</c:v>
                </c:pt>
                <c:pt idx="11">
                  <c:v>Q</c:v>
                </c:pt>
                <c:pt idx="12">
                  <c:v>R</c:v>
                </c:pt>
                <c:pt idx="13">
                  <c:v>S</c:v>
                </c:pt>
                <c:pt idx="14">
                  <c:v>K</c:v>
                </c:pt>
              </c:strCache>
            </c:strRef>
          </c:cat>
          <c:val>
            <c:numRef>
              <c:f>konkurzy!$C$18:$C$32</c:f>
              <c:numCache>
                <c:formatCode>General</c:formatCode>
                <c:ptCount val="15"/>
                <c:pt idx="0">
                  <c:v>26</c:v>
                </c:pt>
                <c:pt idx="1">
                  <c:v>19</c:v>
                </c:pt>
                <c:pt idx="2">
                  <c:v>12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axId val="88030592"/>
        <c:axId val="88048768"/>
      </c:barChart>
      <c:catAx>
        <c:axId val="88030592"/>
        <c:scaling>
          <c:orientation val="minMax"/>
        </c:scaling>
        <c:axPos val="b"/>
        <c:numFmt formatCode="General" sourceLinked="1"/>
        <c:tickLblPos val="nextTo"/>
        <c:crossAx val="88048768"/>
        <c:crosses val="autoZero"/>
        <c:auto val="1"/>
        <c:lblAlgn val="ctr"/>
        <c:lblOffset val="100"/>
      </c:catAx>
      <c:valAx>
        <c:axId val="88048768"/>
        <c:scaling>
          <c:orientation val="minMax"/>
        </c:scaling>
        <c:axPos val="l"/>
        <c:majorGridlines/>
        <c:numFmt formatCode="General" sourceLinked="1"/>
        <c:tickLblPos val="nextTo"/>
        <c:crossAx val="88030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plotArea>
      <c:layout/>
      <c:barChart>
        <c:barDir val="col"/>
        <c:grouping val="clustered"/>
        <c:ser>
          <c:idx val="0"/>
          <c:order val="0"/>
          <c:tx>
            <c:strRef>
              <c:f>konkurzy!$B$84</c:f>
              <c:strCache>
                <c:ptCount val="1"/>
                <c:pt idx="0">
                  <c:v>1. Q 2014</c:v>
                </c:pt>
              </c:strCache>
            </c:strRef>
          </c:tx>
          <c:spPr>
            <a:solidFill>
              <a:srgbClr val="B0CEEF"/>
            </a:solidFill>
          </c:spPr>
          <c:cat>
            <c:strRef>
              <c:f>konkurzy!$A$85:$A$92</c:f>
              <c:strCache>
                <c:ptCount val="8"/>
                <c:pt idx="0">
                  <c:v>BL</c:v>
                </c:pt>
                <c:pt idx="1">
                  <c:v>KI</c:v>
                </c:pt>
                <c:pt idx="2">
                  <c:v>ZI</c:v>
                </c:pt>
                <c:pt idx="3">
                  <c:v>PV</c:v>
                </c:pt>
                <c:pt idx="4">
                  <c:v>TA</c:v>
                </c:pt>
                <c:pt idx="5">
                  <c:v>BC</c:v>
                </c:pt>
                <c:pt idx="6">
                  <c:v>NI</c:v>
                </c:pt>
                <c:pt idx="7">
                  <c:v>TC</c:v>
                </c:pt>
              </c:strCache>
            </c:strRef>
          </c:cat>
          <c:val>
            <c:numRef>
              <c:f>konkurzy!$B$85:$B$92</c:f>
              <c:numCache>
                <c:formatCode>General</c:formatCode>
                <c:ptCount val="8"/>
                <c:pt idx="0">
                  <c:v>21</c:v>
                </c:pt>
                <c:pt idx="1">
                  <c:v>22</c:v>
                </c:pt>
                <c:pt idx="2">
                  <c:v>14</c:v>
                </c:pt>
                <c:pt idx="3">
                  <c:v>17</c:v>
                </c:pt>
                <c:pt idx="4">
                  <c:v>4</c:v>
                </c:pt>
                <c:pt idx="5">
                  <c:v>18</c:v>
                </c:pt>
                <c:pt idx="6">
                  <c:v>8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konkurzy!$C$84</c:f>
              <c:strCache>
                <c:ptCount val="1"/>
                <c:pt idx="0">
                  <c:v>1. Q 2015</c:v>
                </c:pt>
              </c:strCache>
            </c:strRef>
          </c:tx>
          <c:spPr>
            <a:solidFill>
              <a:srgbClr val="003B79"/>
            </a:solidFill>
          </c:spPr>
          <c:cat>
            <c:strRef>
              <c:f>konkurzy!$A$85:$A$92</c:f>
              <c:strCache>
                <c:ptCount val="8"/>
                <c:pt idx="0">
                  <c:v>BL</c:v>
                </c:pt>
                <c:pt idx="1">
                  <c:v>KI</c:v>
                </c:pt>
                <c:pt idx="2">
                  <c:v>ZI</c:v>
                </c:pt>
                <c:pt idx="3">
                  <c:v>PV</c:v>
                </c:pt>
                <c:pt idx="4">
                  <c:v>TA</c:v>
                </c:pt>
                <c:pt idx="5">
                  <c:v>BC</c:v>
                </c:pt>
                <c:pt idx="6">
                  <c:v>NI</c:v>
                </c:pt>
                <c:pt idx="7">
                  <c:v>TC</c:v>
                </c:pt>
              </c:strCache>
            </c:strRef>
          </c:cat>
          <c:val>
            <c:numRef>
              <c:f>konkurzy!$C$85:$C$92</c:f>
              <c:numCache>
                <c:formatCode>General</c:formatCode>
                <c:ptCount val="8"/>
                <c:pt idx="0">
                  <c:v>18</c:v>
                </c:pt>
                <c:pt idx="1">
                  <c:v>16</c:v>
                </c:pt>
                <c:pt idx="2">
                  <c:v>14</c:v>
                </c:pt>
                <c:pt idx="3">
                  <c:v>13</c:v>
                </c:pt>
                <c:pt idx="4">
                  <c:v>13</c:v>
                </c:pt>
                <c:pt idx="5">
                  <c:v>10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</c:ser>
        <c:axId val="88674688"/>
        <c:axId val="88676224"/>
      </c:barChart>
      <c:catAx>
        <c:axId val="88674688"/>
        <c:scaling>
          <c:orientation val="minMax"/>
        </c:scaling>
        <c:axPos val="b"/>
        <c:numFmt formatCode="General" sourceLinked="1"/>
        <c:tickLblPos val="nextTo"/>
        <c:crossAx val="88676224"/>
        <c:crosses val="autoZero"/>
        <c:auto val="1"/>
        <c:lblAlgn val="ctr"/>
        <c:lblOffset val="100"/>
      </c:catAx>
      <c:valAx>
        <c:axId val="88676224"/>
        <c:scaling>
          <c:orientation val="minMax"/>
        </c:scaling>
        <c:axPos val="l"/>
        <c:majorGridlines/>
        <c:numFmt formatCode="General" sourceLinked="1"/>
        <c:tickLblPos val="nextTo"/>
        <c:crossAx val="88674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plotArea>
      <c:layout/>
      <c:barChart>
        <c:barDir val="col"/>
        <c:grouping val="clustered"/>
        <c:ser>
          <c:idx val="0"/>
          <c:order val="0"/>
          <c:tx>
            <c:strRef>
              <c:f>reštrukturalizácie!$B$21</c:f>
              <c:strCache>
                <c:ptCount val="1"/>
                <c:pt idx="0">
                  <c:v>1. Q 2014</c:v>
                </c:pt>
              </c:strCache>
            </c:strRef>
          </c:tx>
          <c:spPr>
            <a:solidFill>
              <a:srgbClr val="B0CEEF"/>
            </a:solidFill>
          </c:spPr>
          <c:cat>
            <c:strRef>
              <c:f>reštrukturalizácie!$A$22:$A$33</c:f>
              <c:strCache>
                <c:ptCount val="12"/>
                <c:pt idx="0">
                  <c:v>C</c:v>
                </c:pt>
                <c:pt idx="1">
                  <c:v>G</c:v>
                </c:pt>
                <c:pt idx="2">
                  <c:v>F</c:v>
                </c:pt>
                <c:pt idx="3">
                  <c:v>M</c:v>
                </c:pt>
                <c:pt idx="4">
                  <c:v>I</c:v>
                </c:pt>
                <c:pt idx="5">
                  <c:v>H</c:v>
                </c:pt>
                <c:pt idx="6">
                  <c:v>J</c:v>
                </c:pt>
                <c:pt idx="7">
                  <c:v>L</c:v>
                </c:pt>
                <c:pt idx="8">
                  <c:v>R</c:v>
                </c:pt>
                <c:pt idx="9">
                  <c:v>E</c:v>
                </c:pt>
                <c:pt idx="10">
                  <c:v>S</c:v>
                </c:pt>
                <c:pt idx="11">
                  <c:v>N</c:v>
                </c:pt>
              </c:strCache>
            </c:strRef>
          </c:cat>
          <c:val>
            <c:numRef>
              <c:f>reštrukturalizácie!$B$22:$B$33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reštrukturalizácie!$C$21</c:f>
              <c:strCache>
                <c:ptCount val="1"/>
                <c:pt idx="0">
                  <c:v>1. Q 2015</c:v>
                </c:pt>
              </c:strCache>
            </c:strRef>
          </c:tx>
          <c:spPr>
            <a:solidFill>
              <a:srgbClr val="003B79"/>
            </a:solidFill>
          </c:spPr>
          <c:cat>
            <c:strRef>
              <c:f>reštrukturalizácie!$A$22:$A$33</c:f>
              <c:strCache>
                <c:ptCount val="12"/>
                <c:pt idx="0">
                  <c:v>C</c:v>
                </c:pt>
                <c:pt idx="1">
                  <c:v>G</c:v>
                </c:pt>
                <c:pt idx="2">
                  <c:v>F</c:v>
                </c:pt>
                <c:pt idx="3">
                  <c:v>M</c:v>
                </c:pt>
                <c:pt idx="4">
                  <c:v>I</c:v>
                </c:pt>
                <c:pt idx="5">
                  <c:v>H</c:v>
                </c:pt>
                <c:pt idx="6">
                  <c:v>J</c:v>
                </c:pt>
                <c:pt idx="7">
                  <c:v>L</c:v>
                </c:pt>
                <c:pt idx="8">
                  <c:v>R</c:v>
                </c:pt>
                <c:pt idx="9">
                  <c:v>E</c:v>
                </c:pt>
                <c:pt idx="10">
                  <c:v>S</c:v>
                </c:pt>
                <c:pt idx="11">
                  <c:v>N</c:v>
                </c:pt>
              </c:strCache>
            </c:strRef>
          </c:cat>
          <c:val>
            <c:numRef>
              <c:f>reštrukturalizácie!$C$22:$C$33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88700800"/>
        <c:axId val="88702336"/>
      </c:barChart>
      <c:catAx>
        <c:axId val="88700800"/>
        <c:scaling>
          <c:orientation val="minMax"/>
        </c:scaling>
        <c:axPos val="b"/>
        <c:numFmt formatCode="General" sourceLinked="1"/>
        <c:tickLblPos val="nextTo"/>
        <c:crossAx val="88702336"/>
        <c:crosses val="autoZero"/>
        <c:auto val="1"/>
        <c:lblAlgn val="ctr"/>
        <c:lblOffset val="100"/>
      </c:catAx>
      <c:valAx>
        <c:axId val="88702336"/>
        <c:scaling>
          <c:orientation val="minMax"/>
        </c:scaling>
        <c:axPos val="l"/>
        <c:majorGridlines/>
        <c:numFmt formatCode="General" sourceLinked="1"/>
        <c:tickLblPos val="nextTo"/>
        <c:crossAx val="88700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plotArea>
      <c:layout/>
      <c:barChart>
        <c:barDir val="col"/>
        <c:grouping val="clustered"/>
        <c:ser>
          <c:idx val="0"/>
          <c:order val="0"/>
          <c:tx>
            <c:strRef>
              <c:f>reštrukturalizácie!$B$72</c:f>
              <c:strCache>
                <c:ptCount val="1"/>
                <c:pt idx="0">
                  <c:v>1. Q 2014</c:v>
                </c:pt>
              </c:strCache>
            </c:strRef>
          </c:tx>
          <c:spPr>
            <a:solidFill>
              <a:srgbClr val="B0CEEF"/>
            </a:solidFill>
          </c:spPr>
          <c:cat>
            <c:strRef>
              <c:f>reštrukturalizácie!$A$73:$A$80</c:f>
              <c:strCache>
                <c:ptCount val="8"/>
                <c:pt idx="0">
                  <c:v>BL</c:v>
                </c:pt>
                <c:pt idx="1">
                  <c:v>TC</c:v>
                </c:pt>
                <c:pt idx="2">
                  <c:v>NI</c:v>
                </c:pt>
                <c:pt idx="3">
                  <c:v>ZI</c:v>
                </c:pt>
                <c:pt idx="4">
                  <c:v>BC</c:v>
                </c:pt>
                <c:pt idx="5">
                  <c:v>PV</c:v>
                </c:pt>
                <c:pt idx="6">
                  <c:v>TA</c:v>
                </c:pt>
                <c:pt idx="7">
                  <c:v>KI</c:v>
                </c:pt>
              </c:strCache>
            </c:strRef>
          </c:cat>
          <c:val>
            <c:numRef>
              <c:f>reštrukturalizácie!$B$73:$B$80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reštrukturalizácie!$C$72</c:f>
              <c:strCache>
                <c:ptCount val="1"/>
                <c:pt idx="0">
                  <c:v>1. Q 2015</c:v>
                </c:pt>
              </c:strCache>
            </c:strRef>
          </c:tx>
          <c:spPr>
            <a:solidFill>
              <a:srgbClr val="003B79"/>
            </a:solidFill>
          </c:spPr>
          <c:cat>
            <c:strRef>
              <c:f>reštrukturalizácie!$A$73:$A$80</c:f>
              <c:strCache>
                <c:ptCount val="8"/>
                <c:pt idx="0">
                  <c:v>BL</c:v>
                </c:pt>
                <c:pt idx="1">
                  <c:v>TC</c:v>
                </c:pt>
                <c:pt idx="2">
                  <c:v>NI</c:v>
                </c:pt>
                <c:pt idx="3">
                  <c:v>ZI</c:v>
                </c:pt>
                <c:pt idx="4">
                  <c:v>BC</c:v>
                </c:pt>
                <c:pt idx="5">
                  <c:v>PV</c:v>
                </c:pt>
                <c:pt idx="6">
                  <c:v>TA</c:v>
                </c:pt>
                <c:pt idx="7">
                  <c:v>KI</c:v>
                </c:pt>
              </c:strCache>
            </c:strRef>
          </c:cat>
          <c:val>
            <c:numRef>
              <c:f>reštrukturalizácie!$C$73:$C$80</c:f>
              <c:numCache>
                <c:formatCode>General</c:formatCode>
                <c:ptCount val="8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axId val="88735104"/>
        <c:axId val="88814720"/>
      </c:barChart>
      <c:catAx>
        <c:axId val="88735104"/>
        <c:scaling>
          <c:orientation val="minMax"/>
        </c:scaling>
        <c:axPos val="b"/>
        <c:numFmt formatCode="General" sourceLinked="1"/>
        <c:tickLblPos val="nextTo"/>
        <c:crossAx val="88814720"/>
        <c:crosses val="autoZero"/>
        <c:auto val="1"/>
        <c:lblAlgn val="ctr"/>
        <c:lblOffset val="100"/>
      </c:catAx>
      <c:valAx>
        <c:axId val="88814720"/>
        <c:scaling>
          <c:orientation val="minMax"/>
        </c:scaling>
        <c:axPos val="l"/>
        <c:majorGridlines/>
        <c:numFmt formatCode="General" sourceLinked="1"/>
        <c:tickLblPos val="nextTo"/>
        <c:crossAx val="88735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EDD9-651D-45AC-98C7-73907697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2438</Words>
  <Characters>13900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Majka</cp:lastModifiedBy>
  <cp:revision>2</cp:revision>
  <cp:lastPrinted>2015-04-08T12:37:00Z</cp:lastPrinted>
  <dcterms:created xsi:type="dcterms:W3CDTF">2015-04-13T10:05:00Z</dcterms:created>
  <dcterms:modified xsi:type="dcterms:W3CDTF">2015-04-13T10:05:00Z</dcterms:modified>
</cp:coreProperties>
</file>